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200" w:line="240" w:lineRule="auto"/>
        <w:rPr>
          <w:rFonts w:ascii="Montserrat Light" w:cs="Montserrat Light" w:eastAsia="Montserrat Light" w:hAnsi="Montserrat Light"/>
          <w:color w:val="666666"/>
        </w:rPr>
      </w:pPr>
      <w:bookmarkStart w:colFirst="0" w:colLast="0" w:name="_t12utuq0ot9i" w:id="0"/>
      <w:bookmarkEnd w:id="0"/>
      <w:r w:rsidDel="00000000" w:rsidR="00000000" w:rsidRPr="00000000">
        <w:rPr>
          <w:sz w:val="52"/>
          <w:szCs w:val="52"/>
          <w:rtl w:val="0"/>
        </w:rPr>
        <w:t xml:space="preserve">Se necesita más de un salario mínimo para cubrir una renta promedio en la CDMX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● 24 de abril de 2024. Ciudad de México, México</w:t>
      </w:r>
      <w:r w:rsidDel="00000000" w:rsidR="00000000" w:rsidRPr="00000000">
        <w:rPr>
          <w:rtl w:val="0"/>
        </w:rPr>
        <w:t xml:space="preserve">. En 9 de 13 alcaldías de la Ciudad de México los trabajadores necesitan al menos 2 salarios mínimos generales (SMG) para pagar la renta promedio. En Miguel Hidalgo se necesitan hasta 4 salarios mínimos. Ninguna alcaldía presenta una renta promedio inferior al SMG. Estos son algunos hallazgos del análisis realizado por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Lamudi</w:t>
        </w:r>
      </w:hyperlink>
      <w:r w:rsidDel="00000000" w:rsidR="00000000" w:rsidRPr="00000000">
        <w:rPr>
          <w:rtl w:val="0"/>
        </w:rPr>
        <w:t xml:space="preserve">, el portal inmobiliario líder en México, en el marco del Día Internacional de los Trabajadores. </w:t>
      </w:r>
    </w:p>
    <w:p w:rsidR="00000000" w:rsidDel="00000000" w:rsidP="00000000" w:rsidRDefault="00000000" w:rsidRPr="00000000" w14:paraId="00000003">
      <w:pPr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Una de las consignas de esta jornada, que reivindica los derechos de los trabajadores, es el de un ingreso justo. En 2024, la remuneración mínima, equivale a $7,468 pesos. El portal inmobiliario analizó la relación existente entre la renta de una vivienda y el salario mínimo en 13 alcaldías de la ciudad.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El siguiente mapa muestra la renta en su equivalencia de salarios mínimos:</w:t>
      </w:r>
    </w:p>
    <w:p w:rsidR="00000000" w:rsidDel="00000000" w:rsidP="00000000" w:rsidRDefault="00000000" w:rsidRPr="00000000" w14:paraId="00000005">
      <w:pPr>
        <w:jc w:val="center"/>
        <w:rPr/>
      </w:pPr>
      <w:hyperlink r:id="rId7">
        <w:r w:rsidDel="00000000" w:rsidR="00000000" w:rsidRPr="00000000">
          <w:rPr>
            <w:color w:val="1155cc"/>
            <w:u w:val="single"/>
          </w:rPr>
          <w:drawing>
            <wp:inline distB="114300" distT="114300" distL="114300" distR="114300">
              <wp:extent cx="3025052" cy="3165752"/>
              <wp:effectExtent b="0" l="0" r="0" t="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25052" cy="3165752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ourier New" w:cs="Courier New" w:eastAsia="Courier New" w:hAnsi="Courier New"/>
          <w:b w:val="1"/>
        </w:rPr>
      </w:pPr>
      <w:hyperlink r:id="rId9">
        <w:r w:rsidDel="00000000" w:rsidR="00000000" w:rsidRPr="00000000">
          <w:rPr>
            <w:rFonts w:ascii="Courier New" w:cs="Courier New" w:eastAsia="Courier New" w:hAnsi="Courier New"/>
            <w:b w:val="1"/>
            <w:color w:val="1155cc"/>
            <w:u w:val="single"/>
            <w:rtl w:val="0"/>
          </w:rPr>
          <w:t xml:space="preserve">Ver mapa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200" w:line="240" w:lineRule="auto"/>
        <w:rPr>
          <w:rFonts w:ascii="Consolas" w:cs="Consolas" w:eastAsia="Consolas" w:hAnsi="Consolas"/>
          <w:color w:val="6aa84f"/>
          <w:sz w:val="14"/>
          <w:szCs w:val="14"/>
        </w:rPr>
      </w:pPr>
      <w:r w:rsidDel="00000000" w:rsidR="00000000" w:rsidRPr="00000000">
        <w:rPr>
          <w:rFonts w:ascii="Consolas" w:cs="Consolas" w:eastAsia="Consolas" w:hAnsi="Consolas"/>
          <w:color w:val="6aa84f"/>
          <w:sz w:val="24"/>
          <w:szCs w:val="24"/>
          <w:rtl w:val="0"/>
        </w:rPr>
        <w:t xml:space="preserve">Inserta el gráfico en tu sitio web [EMBED CODE]</w:t>
      </w:r>
      <w:r w:rsidDel="00000000" w:rsidR="00000000" w:rsidRPr="00000000">
        <w:rPr>
          <w:rtl w:val="0"/>
        </w:rPr>
      </w:r>
    </w:p>
    <w:tbl>
      <w:tblPr>
        <w:tblStyle w:val="Table1"/>
        <w:jc w:val="left"/>
        <w:tblLayout w:type="fixed"/>
        <w:tblLook w:val="0600"/>
      </w:tblPr>
      <w:tblGrid>
        <w:gridCol w:w="9936"/>
        <w:tblGridChange w:id="0">
          <w:tblGrid>
            <w:gridCol w:w="9936"/>
          </w:tblGrid>
        </w:tblGridChange>
      </w:tblGrid>
      <w:tr>
        <w:trPr>
          <w:cantSplit w:val="0"/>
          <w:tblHeader w:val="0"/>
        </w:trPr>
        <w:tc>
          <w:tcPr>
            <w:shd w:fill="00245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ffffff"/>
                <w:sz w:val="16"/>
                <w:szCs w:val="16"/>
                <w:shd w:fill="002451" w:val="clear"/>
                <w:rtl w:val="0"/>
              </w:rPr>
              <w:t xml:space="preserve">&lt;iframe </w:t>
            </w:r>
            <w:r w:rsidDel="00000000" w:rsidR="00000000" w:rsidRPr="00000000">
              <w:rPr>
                <w:rFonts w:ascii="Consolas" w:cs="Consolas" w:eastAsia="Consolas" w:hAnsi="Consolas"/>
                <w:color w:val="ffeead"/>
                <w:sz w:val="16"/>
                <w:szCs w:val="16"/>
                <w:shd w:fill="002451" w:val="clear"/>
                <w:rtl w:val="0"/>
              </w:rPr>
              <w:t xml:space="preserve">src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16"/>
                <w:szCs w:val="16"/>
                <w:shd w:fill="002451" w:val="clear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d1f1a9"/>
                <w:sz w:val="16"/>
                <w:szCs w:val="16"/>
                <w:shd w:fill="002451" w:val="clear"/>
                <w:rtl w:val="0"/>
              </w:rPr>
              <w:t xml:space="preserve">"https://bit.ly/dia-trabajo-salario-mínimo-renta-cdmx-lamudi"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16"/>
                <w:szCs w:val="16"/>
                <w:shd w:fill="002451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ffeead"/>
                <w:sz w:val="16"/>
                <w:szCs w:val="16"/>
                <w:shd w:fill="002451" w:val="clear"/>
                <w:rtl w:val="0"/>
              </w:rPr>
              <w:t xml:space="preserve">title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16"/>
                <w:szCs w:val="16"/>
                <w:shd w:fill="002451" w:val="clear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d1f1a9"/>
                <w:sz w:val="16"/>
                <w:szCs w:val="16"/>
                <w:shd w:fill="002451" w:val="clear"/>
                <w:rtl w:val="0"/>
              </w:rPr>
              <w:t xml:space="preserve">"El salario mínimo vs. la renta en CDMX"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16"/>
                <w:szCs w:val="16"/>
                <w:shd w:fill="002451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ffeead"/>
                <w:sz w:val="16"/>
                <w:szCs w:val="16"/>
                <w:shd w:fill="002451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16"/>
                <w:szCs w:val="16"/>
                <w:shd w:fill="002451" w:val="clear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d1f1a9"/>
                <w:sz w:val="16"/>
                <w:szCs w:val="16"/>
                <w:shd w:fill="002451" w:val="clear"/>
                <w:rtl w:val="0"/>
              </w:rPr>
              <w:t xml:space="preserve">"flourish-embed-iframe"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16"/>
                <w:szCs w:val="16"/>
                <w:shd w:fill="002451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ffeead"/>
                <w:sz w:val="16"/>
                <w:szCs w:val="16"/>
                <w:shd w:fill="002451" w:val="clear"/>
                <w:rtl w:val="0"/>
              </w:rPr>
              <w:t xml:space="preserve">frameborder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16"/>
                <w:szCs w:val="16"/>
                <w:shd w:fill="002451" w:val="clear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d1f1a9"/>
                <w:sz w:val="16"/>
                <w:szCs w:val="16"/>
                <w:shd w:fill="002451" w:val="clear"/>
                <w:rtl w:val="0"/>
              </w:rPr>
              <w:t xml:space="preserve">"0"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16"/>
                <w:szCs w:val="16"/>
                <w:shd w:fill="002451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ffeead"/>
                <w:sz w:val="16"/>
                <w:szCs w:val="16"/>
                <w:shd w:fill="002451" w:val="clear"/>
                <w:rtl w:val="0"/>
              </w:rPr>
              <w:t xml:space="preserve">scrolling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16"/>
                <w:szCs w:val="16"/>
                <w:shd w:fill="002451" w:val="clear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d1f1a9"/>
                <w:sz w:val="16"/>
                <w:szCs w:val="16"/>
                <w:shd w:fill="002451" w:val="clear"/>
                <w:rtl w:val="0"/>
              </w:rPr>
              <w:t xml:space="preserve">"no"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16"/>
                <w:szCs w:val="16"/>
                <w:shd w:fill="002451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ffeead"/>
                <w:sz w:val="16"/>
                <w:szCs w:val="16"/>
                <w:shd w:fill="002451" w:val="clear"/>
                <w:rtl w:val="0"/>
              </w:rPr>
              <w:t xml:space="preserve">style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16"/>
                <w:szCs w:val="16"/>
                <w:shd w:fill="002451" w:val="clear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d1f1a9"/>
                <w:sz w:val="16"/>
                <w:szCs w:val="16"/>
                <w:shd w:fill="002451" w:val="clear"/>
                <w:rtl w:val="0"/>
              </w:rPr>
              <w:t xml:space="preserve">"width:100%;height:900px;"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16"/>
                <w:szCs w:val="16"/>
                <w:shd w:fill="002451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ffeead"/>
                <w:sz w:val="16"/>
                <w:szCs w:val="16"/>
                <w:shd w:fill="002451" w:val="clear"/>
                <w:rtl w:val="0"/>
              </w:rPr>
              <w:t xml:space="preserve">sandbox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16"/>
                <w:szCs w:val="16"/>
                <w:shd w:fill="002451" w:val="clear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d1f1a9"/>
                <w:sz w:val="16"/>
                <w:szCs w:val="16"/>
                <w:shd w:fill="002451" w:val="clear"/>
                <w:rtl w:val="0"/>
              </w:rPr>
              <w:t xml:space="preserve">"allow-same-origin allow-forms allow-scripts allow-downloads allow-popups allow-popups-to-escape-sandbox allow-top-navigation-by-user-activation"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16"/>
                <w:szCs w:val="16"/>
                <w:shd w:fill="002451" w:val="clear"/>
                <w:rtl w:val="0"/>
              </w:rPr>
              <w:t xml:space="preserve">&gt;&lt;/iframe&gt;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Las alcaldías de Ciudad de México presentan tres escenarios diferentes respecto al número de remuneraciones básicas que exige la renta media en cada uno: precios altos, precios medios y precios bajos. </w:t>
      </w:r>
    </w:p>
    <w:p w:rsidR="00000000" w:rsidDel="00000000" w:rsidP="00000000" w:rsidRDefault="00000000" w:rsidRPr="00000000" w14:paraId="0000000B">
      <w:pPr>
        <w:pStyle w:val="Heading2"/>
        <w:spacing w:after="200" w:before="0" w:lineRule="auto"/>
        <w:jc w:val="left"/>
        <w:rPr/>
      </w:pPr>
      <w:bookmarkStart w:colFirst="0" w:colLast="0" w:name="_6hk0e1ue3hts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32"/>
          <w:szCs w:val="32"/>
          <w:rtl w:val="0"/>
        </w:rPr>
        <w:t xml:space="preserve">Inalcanzables para quiénes ganan el mínimo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El alquiler de las alcaldías que se ubican al poniente rebasa 3 salarios mínimos y, por lo tanto, tienen el precio más elevado: Miguel Hidalgo ($29,831.8 MXN), Cuauhtémoc ($28,862.1 MXN) y Cuajimalpa de Morelos ($23,689.4 MXN). Para rentar una vivienda en alguna de ellas, los trabajadores deberían invertir entre 3 y 4 salarios mínimos.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El SMG apenas cubre entre el 25% y 31.5% de las rentas promedio de las alcaldías en este grupo. </w:t>
      </w:r>
    </w:p>
    <w:p w:rsidR="00000000" w:rsidDel="00000000" w:rsidP="00000000" w:rsidRDefault="00000000" w:rsidRPr="00000000" w14:paraId="0000000E">
      <w:pPr>
        <w:pStyle w:val="Heading2"/>
        <w:jc w:val="both"/>
        <w:rPr>
          <w:rFonts w:ascii="Montserrat" w:cs="Montserrat" w:eastAsia="Montserrat" w:hAnsi="Montserrat"/>
          <w:b w:val="1"/>
          <w:color w:val="000000"/>
          <w:sz w:val="32"/>
          <w:szCs w:val="32"/>
        </w:rPr>
      </w:pPr>
      <w:bookmarkStart w:colFirst="0" w:colLast="0" w:name="_dpwr8b5bzt64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32"/>
          <w:szCs w:val="32"/>
          <w:rtl w:val="0"/>
        </w:rPr>
        <w:t xml:space="preserve">Alcaldías con un precio de renta intermedio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En cinco alcaldías de la Ciudad de México, ubicadas entre el centro y sur de la ciudad, los trabajadores necesitan de 2 a 3 salarios mínimos para pagar una renta promedio: Benito Juárez, Álvaro Obregón, Magdalena Contreras, Coyoacán y Tlalpan. Ésta última es la que presenta el precio de renta más bajo del grupo: $14,978.3 MXN, mientras que en Álvaro Obregón la renta asciende a $22,670.6 MXN.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El SMG cubre entre el 32.9% y el 49.9% de las rentas promedio de las alcaldías en este grupo. </w:t>
      </w:r>
    </w:p>
    <w:p w:rsidR="00000000" w:rsidDel="00000000" w:rsidP="00000000" w:rsidRDefault="00000000" w:rsidRPr="00000000" w14:paraId="00000011">
      <w:pPr>
        <w:pStyle w:val="Heading2"/>
        <w:rPr/>
      </w:pPr>
      <w:bookmarkStart w:colFirst="0" w:colLast="0" w:name="_r1g69zs3zusq" w:id="3"/>
      <w:bookmarkEnd w:id="3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32"/>
          <w:szCs w:val="32"/>
          <w:rtl w:val="0"/>
        </w:rPr>
        <w:t xml:space="preserve">¿En dónde rentar por menos salarios mínimos?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En ninguna de las alcaldías investigadas es posible pagar una renta promedio con menos de un SMG. Las rentas más bajas se presentan en cinco de ellas ubicadas al norte y oriente de la Ciudad de México: Azcapotzalco, Gustavo A. Madero, Venustiano Carranza, Iztacalco e Iztapalapa. En este grupo el precio promedio está entre $9,658 MXN y $12,571.5 MXN. Para rentar una vivienda en alguna, un trabajador necesita pagar entre 1 y 2 salarios mínimos.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El SMG cubre entre el 59.4% y el 77.3% de las rentas promedio de las alcaldías en este grupo.</w:t>
      </w:r>
    </w:p>
    <w:p w:rsidR="00000000" w:rsidDel="00000000" w:rsidP="00000000" w:rsidRDefault="00000000" w:rsidRPr="00000000" w14:paraId="00000014">
      <w:pPr>
        <w:jc w:val="center"/>
        <w:rPr/>
      </w:pPr>
      <w:hyperlink r:id="rId10">
        <w:r w:rsidDel="00000000" w:rsidR="00000000" w:rsidRPr="00000000">
          <w:rPr>
            <w:color w:val="1155cc"/>
            <w:u w:val="single"/>
          </w:rPr>
          <w:drawing>
            <wp:inline distB="114300" distT="114300" distL="114300" distR="114300">
              <wp:extent cx="2497138" cy="1783670"/>
              <wp:effectExtent b="0" l="0" r="0" t="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97138" cy="178367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ourier New" w:cs="Courier New" w:eastAsia="Courier New" w:hAnsi="Courier New"/>
          <w:b w:val="1"/>
        </w:rPr>
      </w:pPr>
      <w:hyperlink r:id="rId12">
        <w:r w:rsidDel="00000000" w:rsidR="00000000" w:rsidRPr="00000000">
          <w:rPr>
            <w:rFonts w:ascii="Courier New" w:cs="Courier New" w:eastAsia="Courier New" w:hAnsi="Courier New"/>
            <w:b w:val="1"/>
            <w:color w:val="1155cc"/>
            <w:u w:val="single"/>
            <w:rtl w:val="0"/>
          </w:rPr>
          <w:t xml:space="preserve">Ver gráfico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200" w:line="240" w:lineRule="auto"/>
        <w:rPr>
          <w:rFonts w:ascii="Consolas" w:cs="Consolas" w:eastAsia="Consolas" w:hAnsi="Consolas"/>
          <w:color w:val="6aa84f"/>
          <w:sz w:val="14"/>
          <w:szCs w:val="14"/>
        </w:rPr>
      </w:pPr>
      <w:r w:rsidDel="00000000" w:rsidR="00000000" w:rsidRPr="00000000">
        <w:rPr>
          <w:rFonts w:ascii="Consolas" w:cs="Consolas" w:eastAsia="Consolas" w:hAnsi="Consolas"/>
          <w:color w:val="6aa84f"/>
          <w:sz w:val="24"/>
          <w:szCs w:val="24"/>
          <w:rtl w:val="0"/>
        </w:rPr>
        <w:t xml:space="preserve">Inserta el gráfico en tu sitio web [EMBED CODE]</w:t>
      </w:r>
      <w:r w:rsidDel="00000000" w:rsidR="00000000" w:rsidRPr="00000000">
        <w:rPr>
          <w:rtl w:val="0"/>
        </w:rPr>
      </w:r>
    </w:p>
    <w:tbl>
      <w:tblPr>
        <w:tblStyle w:val="Table2"/>
        <w:jc w:val="left"/>
        <w:tblLayout w:type="fixed"/>
        <w:tblLook w:val="0600"/>
      </w:tblPr>
      <w:tblGrid>
        <w:gridCol w:w="9936"/>
        <w:tblGridChange w:id="0">
          <w:tblGrid>
            <w:gridCol w:w="9936"/>
          </w:tblGrid>
        </w:tblGridChange>
      </w:tblGrid>
      <w:tr>
        <w:trPr>
          <w:cantSplit w:val="0"/>
          <w:tblHeader w:val="0"/>
        </w:trPr>
        <w:tc>
          <w:tcPr>
            <w:shd w:fill="00245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ffffff"/>
                <w:sz w:val="16"/>
                <w:szCs w:val="16"/>
                <w:shd w:fill="002451" w:val="clear"/>
                <w:rtl w:val="0"/>
              </w:rPr>
              <w:t xml:space="preserve">&lt;iframe </w:t>
            </w:r>
            <w:r w:rsidDel="00000000" w:rsidR="00000000" w:rsidRPr="00000000">
              <w:rPr>
                <w:rFonts w:ascii="Consolas" w:cs="Consolas" w:eastAsia="Consolas" w:hAnsi="Consolas"/>
                <w:color w:val="ffeead"/>
                <w:sz w:val="16"/>
                <w:szCs w:val="16"/>
                <w:shd w:fill="002451" w:val="clear"/>
                <w:rtl w:val="0"/>
              </w:rPr>
              <w:t xml:space="preserve">src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16"/>
                <w:szCs w:val="16"/>
                <w:shd w:fill="002451" w:val="clear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d1f1a9"/>
                <w:sz w:val="16"/>
                <w:szCs w:val="16"/>
                <w:shd w:fill="002451" w:val="clear"/>
                <w:rtl w:val="0"/>
              </w:rPr>
              <w:t xml:space="preserve">"https://bit.ly/día-trabajo-salario-minimo-renta-grafico-cdmx"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16"/>
                <w:szCs w:val="16"/>
                <w:shd w:fill="002451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ffeead"/>
                <w:sz w:val="16"/>
                <w:szCs w:val="16"/>
                <w:shd w:fill="002451" w:val="clear"/>
                <w:rtl w:val="0"/>
              </w:rPr>
              <w:t xml:space="preserve">title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16"/>
                <w:szCs w:val="16"/>
                <w:shd w:fill="002451" w:val="clear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d1f1a9"/>
                <w:sz w:val="16"/>
                <w:szCs w:val="16"/>
                <w:shd w:fill="002451" w:val="clear"/>
                <w:rtl w:val="0"/>
              </w:rPr>
              <w:t xml:space="preserve">"Cuánto cubre un salario mínimo en CDMX"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16"/>
                <w:szCs w:val="16"/>
                <w:shd w:fill="002451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ffeead"/>
                <w:sz w:val="16"/>
                <w:szCs w:val="16"/>
                <w:shd w:fill="002451" w:val="clear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16"/>
                <w:szCs w:val="16"/>
                <w:shd w:fill="002451" w:val="clear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d1f1a9"/>
                <w:sz w:val="16"/>
                <w:szCs w:val="16"/>
                <w:shd w:fill="002451" w:val="clear"/>
                <w:rtl w:val="0"/>
              </w:rPr>
              <w:t xml:space="preserve">"flourish-embed-iframe"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16"/>
                <w:szCs w:val="16"/>
                <w:shd w:fill="002451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ffeead"/>
                <w:sz w:val="16"/>
                <w:szCs w:val="16"/>
                <w:shd w:fill="002451" w:val="clear"/>
                <w:rtl w:val="0"/>
              </w:rPr>
              <w:t xml:space="preserve">frameborder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16"/>
                <w:szCs w:val="16"/>
                <w:shd w:fill="002451" w:val="clear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d1f1a9"/>
                <w:sz w:val="16"/>
                <w:szCs w:val="16"/>
                <w:shd w:fill="002451" w:val="clear"/>
                <w:rtl w:val="0"/>
              </w:rPr>
              <w:t xml:space="preserve">"0"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16"/>
                <w:szCs w:val="16"/>
                <w:shd w:fill="002451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ffeead"/>
                <w:sz w:val="16"/>
                <w:szCs w:val="16"/>
                <w:shd w:fill="002451" w:val="clear"/>
                <w:rtl w:val="0"/>
              </w:rPr>
              <w:t xml:space="preserve">scrolling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16"/>
                <w:szCs w:val="16"/>
                <w:shd w:fill="002451" w:val="clear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d1f1a9"/>
                <w:sz w:val="16"/>
                <w:szCs w:val="16"/>
                <w:shd w:fill="002451" w:val="clear"/>
                <w:rtl w:val="0"/>
              </w:rPr>
              <w:t xml:space="preserve">"no"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16"/>
                <w:szCs w:val="16"/>
                <w:shd w:fill="002451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ffeead"/>
                <w:sz w:val="16"/>
                <w:szCs w:val="16"/>
                <w:shd w:fill="002451" w:val="clear"/>
                <w:rtl w:val="0"/>
              </w:rPr>
              <w:t xml:space="preserve">style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16"/>
                <w:szCs w:val="16"/>
                <w:shd w:fill="002451" w:val="clear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d1f1a9"/>
                <w:sz w:val="16"/>
                <w:szCs w:val="16"/>
                <w:shd w:fill="002451" w:val="clear"/>
                <w:rtl w:val="0"/>
              </w:rPr>
              <w:t xml:space="preserve">"width:100%;height:500px;"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16"/>
                <w:szCs w:val="16"/>
                <w:shd w:fill="002451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ffeead"/>
                <w:sz w:val="16"/>
                <w:szCs w:val="16"/>
                <w:shd w:fill="002451" w:val="clear"/>
                <w:rtl w:val="0"/>
              </w:rPr>
              <w:t xml:space="preserve">sandbox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16"/>
                <w:szCs w:val="16"/>
                <w:shd w:fill="002451" w:val="clear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color w:val="d1f1a9"/>
                <w:sz w:val="16"/>
                <w:szCs w:val="16"/>
                <w:shd w:fill="002451" w:val="clear"/>
                <w:rtl w:val="0"/>
              </w:rPr>
              <w:t xml:space="preserve">"allow-same-origin allow-forms allow-scripts allow-downloads allow-popups allow-popups-to-escape-sandbox allow-top-navigation-by-user-activation"</w:t>
            </w:r>
            <w:r w:rsidDel="00000000" w:rsidR="00000000" w:rsidRPr="00000000">
              <w:rPr>
                <w:rFonts w:ascii="Consolas" w:cs="Consolas" w:eastAsia="Consolas" w:hAnsi="Consolas"/>
                <w:color w:val="ffffff"/>
                <w:sz w:val="16"/>
                <w:szCs w:val="16"/>
                <w:shd w:fill="002451" w:val="clear"/>
                <w:rtl w:val="0"/>
              </w:rPr>
              <w:t xml:space="preserve">&gt;&lt;/iframe&gt;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Style w:val="Heading2"/>
        <w:spacing w:before="120" w:lineRule="auto"/>
        <w:rPr/>
      </w:pPr>
      <w:bookmarkStart w:colFirst="0" w:colLast="0" w:name="_tg9uj9eb85lt" w:id="4"/>
      <w:bookmarkEnd w:id="4"/>
      <w:r w:rsidDel="00000000" w:rsidR="00000000" w:rsidRPr="00000000">
        <w:rPr>
          <w:rtl w:val="0"/>
        </w:rPr>
        <w:t xml:space="preserve">La renta como termómetro económico</w:t>
      </w:r>
    </w:p>
    <w:p w:rsidR="00000000" w:rsidDel="00000000" w:rsidP="00000000" w:rsidRDefault="00000000" w:rsidRPr="00000000" w14:paraId="00000019">
      <w:pPr>
        <w:spacing w:after="80" w:lineRule="auto"/>
        <w:jc w:val="both"/>
        <w:rPr/>
      </w:pPr>
      <w:r w:rsidDel="00000000" w:rsidR="00000000" w:rsidRPr="00000000">
        <w:rPr>
          <w:rtl w:val="0"/>
        </w:rPr>
        <w:t xml:space="preserve">El acceso a vivienda es uno de los principales aspectos económicos al analizar las finanzas personales. Los niveles de crecimiento de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precios en los últimos años</w:t>
        </w:r>
      </w:hyperlink>
      <w:r w:rsidDel="00000000" w:rsidR="00000000" w:rsidRPr="00000000">
        <w:rPr>
          <w:rtl w:val="0"/>
        </w:rPr>
        <w:t xml:space="preserve">, al igual que de otros productos y servicios debido a diferentes factores, incrementan la presión sobre la capacidad de ahorro y de gasto de un hogar. Según cifras del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Inegi</w:t>
        </w:r>
      </w:hyperlink>
      <w:r w:rsidDel="00000000" w:rsidR="00000000" w:rsidRPr="00000000">
        <w:rPr>
          <w:rtl w:val="0"/>
        </w:rPr>
        <w:t xml:space="preserve">, 16% de las viviendas son rentadas, un porcentaje que va en aumento.</w:t>
      </w:r>
    </w:p>
    <w:p w:rsidR="00000000" w:rsidDel="00000000" w:rsidP="00000000" w:rsidRDefault="00000000" w:rsidRPr="00000000" w14:paraId="0000001A">
      <w:pPr>
        <w:spacing w:after="80" w:lineRule="auto"/>
        <w:jc w:val="both"/>
        <w:rPr/>
      </w:pPr>
      <w:r w:rsidDel="00000000" w:rsidR="00000000" w:rsidRPr="00000000">
        <w:rPr>
          <w:rtl w:val="0"/>
        </w:rPr>
        <w:t xml:space="preserve">De acuerdo con una recomendación de la Organización para la Cooperación y el Desarrollo Económico, una familia debería gastar máximo el 40% de los ingresos en alquiler. Bajo esta hipótesis, como ya hemos visto previamente, ningún sector de CDMX registra una renta media que permita gastar solo 40% del salario mínimo de México. Esta situación contrasta con el dato de que México es también uno de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los países que más horas trabaja</w:t>
        </w:r>
      </w:hyperlink>
      <w:r w:rsidDel="00000000" w:rsidR="00000000" w:rsidRPr="00000000">
        <w:rPr>
          <w:rtl w:val="0"/>
        </w:rPr>
        <w:t xml:space="preserve"> anualmente (2,137 horas por trabajador), según cifras de la misma organización.</w:t>
      </w:r>
    </w:p>
    <w:p w:rsidR="00000000" w:rsidDel="00000000" w:rsidP="00000000" w:rsidRDefault="00000000" w:rsidRPr="00000000" w14:paraId="0000001B">
      <w:pPr>
        <w:spacing w:after="8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Metodología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Se consideraron departamentos de 1 a 3 habitaciones disponibles en renta entre enero y marzo de 2024.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80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Se determinó el precio promedio mensual por alcaldía y se descartaron las que no cumplen con una muestra significativa de anuncios.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80" w:lineRule="auto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Sobre Lamudi y LIFULL Connect</w:t>
      </w:r>
    </w:p>
    <w:p w:rsidR="00000000" w:rsidDel="00000000" w:rsidP="00000000" w:rsidRDefault="00000000" w:rsidRPr="00000000" w14:paraId="00000020">
      <w:pPr>
        <w:spacing w:after="80" w:lineRule="auto"/>
        <w:jc w:val="both"/>
        <w:rPr>
          <w:rFonts w:ascii="Montserrat Light" w:cs="Montserrat Light" w:eastAsia="Montserrat Light" w:hAnsi="Montserrat Light"/>
          <w:sz w:val="18"/>
          <w:szCs w:val="18"/>
        </w:rPr>
      </w:pPr>
      <w:r w:rsidDel="00000000" w:rsidR="00000000" w:rsidRPr="00000000">
        <w:rPr>
          <w:rFonts w:ascii="Montserrat Light" w:cs="Montserrat Light" w:eastAsia="Montserrat Light" w:hAnsi="Montserrat Light"/>
          <w:sz w:val="18"/>
          <w:szCs w:val="18"/>
          <w:rtl w:val="0"/>
        </w:rPr>
        <w:t xml:space="preserve">Lamudi México es la plataforma en línea líder en bienes raíces que conecta a quienes buscan propiedades con profesionales del sector. Lanzado en 2013, Lamudi se convirtió rápidamente en un destino digital para quienes buscan comprar, alquilar o vender propiedades en todo el país. La interfaz fácil de usar y las características intuitivas de Lamudi México facilitan que cualquier persona encuentre la propiedad de sus sueños. En 2023 pasó a formar parte de Lifull Connect, el grupo líder en plataformas de venta y agregadores digitales propiedad de LIFULL. Atiende a más de 180 millones de usuarios mensualmente, con más de 250 sitios en 63 países. </w:t>
      </w:r>
    </w:p>
    <w:p w:rsidR="00000000" w:rsidDel="00000000" w:rsidP="00000000" w:rsidRDefault="00000000" w:rsidRPr="00000000" w14:paraId="00000021">
      <w:pPr>
        <w:spacing w:after="80" w:lineRule="auto"/>
        <w:jc w:val="both"/>
        <w:rPr>
          <w:rFonts w:ascii="Montserrat Light" w:cs="Montserrat Light" w:eastAsia="Montserrat Light" w:hAnsi="Montserrat Light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980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35"/>
        <w:gridCol w:w="3345"/>
        <w:tblGridChange w:id="0">
          <w:tblGrid>
            <w:gridCol w:w="4635"/>
            <w:gridCol w:w="3345"/>
          </w:tblGrid>
        </w:tblGridChange>
      </w:tblGrid>
      <w:tr>
        <w:trPr>
          <w:cantSplit w:val="0"/>
          <w:trHeight w:val="705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Contacto de prensa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Lamudi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Giselle Martínez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Data Journalist 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prensa@lifullconnect.com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+52 5611789382</w:t>
            </w:r>
          </w:p>
        </w:tc>
      </w:tr>
    </w:tbl>
    <w:p w:rsidR="00000000" w:rsidDel="00000000" w:rsidP="00000000" w:rsidRDefault="00000000" w:rsidRPr="00000000" w14:paraId="00000028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pgSz w:h="15840" w:w="12240" w:orient="portrait"/>
      <w:pgMar w:bottom="1152" w:top="1152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Consolas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Montserrat ExtraBold">
    <w:embedBold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>
        <w:rFonts w:ascii="Montserrat Light" w:cs="Montserrat Light" w:eastAsia="Montserrat Light" w:hAnsi="Montserrat Light"/>
        <w:sz w:val="20"/>
        <w:szCs w:val="20"/>
      </w:rPr>
    </w:pPr>
    <w:r w:rsidDel="00000000" w:rsidR="00000000" w:rsidRPr="00000000">
      <w:rPr>
        <w:rFonts w:ascii="Montserrat Light" w:cs="Montserrat Light" w:eastAsia="Montserrat Light" w:hAnsi="Montserrat Light"/>
        <w:sz w:val="20"/>
        <w:szCs w:val="20"/>
        <w:rtl w:val="0"/>
      </w:rPr>
      <w:t xml:space="preserve">Para más información escribir a </w:t>
    </w:r>
    <w:hyperlink r:id="rId1">
      <w:r w:rsidDel="00000000" w:rsidR="00000000" w:rsidRPr="00000000">
        <w:rPr>
          <w:rFonts w:ascii="Montserrat Light" w:cs="Montserrat Light" w:eastAsia="Montserrat Light" w:hAnsi="Montserrat Light"/>
          <w:color w:val="1155cc"/>
          <w:sz w:val="20"/>
          <w:szCs w:val="20"/>
          <w:u w:val="single"/>
          <w:rtl w:val="0"/>
        </w:rPr>
        <w:t xml:space="preserve">prensa@lifullconnect.com</w:t>
      </w:r>
    </w:hyperlink>
    <w:r w:rsidDel="00000000" w:rsidR="00000000" w:rsidRPr="00000000">
      <w:rPr>
        <w:rFonts w:ascii="Montserrat Light" w:cs="Montserrat Light" w:eastAsia="Montserrat Light" w:hAnsi="Montserrat Light"/>
        <w:sz w:val="20"/>
        <w:szCs w:val="20"/>
        <w:rtl w:val="0"/>
      </w:rPr>
      <w:t xml:space="preserve"> </w:t>
      <w:tab/>
      <w:tab/>
      <w:tab/>
      <w:tab/>
      <w:tab/>
      <w:tab/>
    </w:r>
    <w:r w:rsidDel="00000000" w:rsidR="00000000" w:rsidRPr="00000000">
      <w:rPr>
        <w:rFonts w:ascii="Montserrat Light" w:cs="Montserrat Light" w:eastAsia="Montserrat Light" w:hAnsi="Montserrat Light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 Light" w:cs="Montserrat Light" w:eastAsia="Montserrat Light" w:hAnsi="Montserrat Light"/>
        <w:sz w:val="20"/>
        <w:szCs w:val="20"/>
        <w:rtl w:val="0"/>
      </w:rPr>
      <w:t xml:space="preserve"> de 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185863" cy="311289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5863" cy="3112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ontserrat" w:cs="Montserrat" w:eastAsia="Montserrat" w:hAnsi="Montserrat"/>
        <w:sz w:val="22"/>
        <w:szCs w:val="22"/>
        <w:lang w:val="en"/>
      </w:rPr>
    </w:rPrDefault>
    <w:pPrDefault>
      <w:pPr>
        <w:spacing w:after="12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rFonts w:ascii="Montserrat ExtraBold" w:cs="Montserrat ExtraBold" w:eastAsia="Montserrat ExtraBold" w:hAnsi="Montserrat ExtraBold"/>
      <w:color w:val="313037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lineRule="auto"/>
      <w:jc w:val="left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00" w:lineRule="auto"/>
    </w:pPr>
    <w:rPr>
      <w:rFonts w:ascii="Montserrat ExtraBold" w:cs="Montserrat ExtraBold" w:eastAsia="Montserrat ExtraBold" w:hAnsi="Montserrat ExtraBold"/>
      <w:color w:val="313037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00" w:lineRule="auto"/>
    </w:pPr>
    <w:rPr>
      <w:rFonts w:ascii="Montserrat ExtraBold" w:cs="Montserrat ExtraBold" w:eastAsia="Montserrat ExtraBold" w:hAnsi="Montserrat ExtraBold"/>
      <w:color w:val="00bddb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00" w:lineRule="auto"/>
    </w:pPr>
    <w:rPr>
      <w:rFonts w:ascii="Montserrat ExtraBold" w:cs="Montserrat ExtraBold" w:eastAsia="Montserrat ExtraBold" w:hAnsi="Montserrat ExtraBold"/>
      <w:color w:val="ee4252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00" w:lineRule="auto"/>
    </w:pPr>
    <w:rPr>
      <w:rFonts w:ascii="Montserrat ExtraBold" w:cs="Montserrat ExtraBold" w:eastAsia="Montserrat ExtraBold" w:hAnsi="Montserrat ExtraBold"/>
      <w:color w:val="ed6103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center"/>
    </w:pPr>
    <w:rPr>
      <w:b w:val="1"/>
      <w:sz w:val="44"/>
      <w:szCs w:val="44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2e374f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hyperlink" Target="https://bit.ly/dia-trabajo-salario-m%C3%ADnimo-renta-cdmx-lamudi" TargetMode="External"/><Relationship Id="rId13" Type="http://schemas.openxmlformats.org/officeDocument/2006/relationships/hyperlink" Target="https://www.lamudi.com.mx/journal/informe-evolucion-del-mercado-inmobiliario-mexico-2023/" TargetMode="External"/><Relationship Id="rId12" Type="http://schemas.openxmlformats.org/officeDocument/2006/relationships/hyperlink" Target="https://bit.ly/dia-trabajo-salario-m%C3%ADnimo-renta-cdmx-lamudi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it.ly/dia-trabajo-salario-m%C3%ADnimo-renta-cdmx-lamudi" TargetMode="External"/><Relationship Id="rId15" Type="http://schemas.openxmlformats.org/officeDocument/2006/relationships/hyperlink" Target="https://www.oecd.org/espanol/estadisticas/horas-trabajadas.htm" TargetMode="External"/><Relationship Id="rId14" Type="http://schemas.openxmlformats.org/officeDocument/2006/relationships/hyperlink" Target="https://www.inegi.org.mx/contenidos/programas/envi/2020/doc/envi_2020_presentacion.pdf" TargetMode="External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lamudi.com.mx/" TargetMode="External"/><Relationship Id="rId7" Type="http://schemas.openxmlformats.org/officeDocument/2006/relationships/hyperlink" Target="https://bit.ly/dia-trabajo-salario-m%C3%ADnimo-renta-cdmx-lamudi" TargetMode="External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10" Type="http://schemas.openxmlformats.org/officeDocument/2006/relationships/font" Target="fonts/MontserratExtraBold-boldItalic.ttf"/><Relationship Id="rId9" Type="http://schemas.openxmlformats.org/officeDocument/2006/relationships/font" Target="fonts/MontserratExtraBold-bold.ttf"/><Relationship Id="rId5" Type="http://schemas.openxmlformats.org/officeDocument/2006/relationships/font" Target="fonts/MontserratLight-regular.ttf"/><Relationship Id="rId6" Type="http://schemas.openxmlformats.org/officeDocument/2006/relationships/font" Target="fonts/MontserratLight-bold.ttf"/><Relationship Id="rId7" Type="http://schemas.openxmlformats.org/officeDocument/2006/relationships/font" Target="fonts/MontserratLight-italic.ttf"/><Relationship Id="rId8" Type="http://schemas.openxmlformats.org/officeDocument/2006/relationships/font" Target="fonts/MontserratLigh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prensa@lifullconnect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