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240" w:lineRule="auto"/>
        <w:jc w:val="left"/>
        <w:rPr/>
      </w:pPr>
      <w:bookmarkStart w:colFirst="0" w:colLast="0" w:name="_elyv05sjqin" w:id="0"/>
      <w:bookmarkEnd w:id="0"/>
      <w:r w:rsidDel="00000000" w:rsidR="00000000" w:rsidRPr="00000000">
        <w:rPr>
          <w:sz w:val="42"/>
          <w:szCs w:val="42"/>
          <w:rtl w:val="0"/>
        </w:rPr>
        <w:t xml:space="preserve">América Latina: ¿Cuántos salarios se necesitan para rentar una vivienda de clase media?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20 de febrero de 2024. Ciudad de México, México. </w:t>
      </w:r>
      <w:r w:rsidDel="00000000" w:rsidR="00000000" w:rsidRPr="00000000">
        <w:rPr>
          <w:rtl w:val="0"/>
        </w:rPr>
        <w:t xml:space="preserve">La llegada de 2024 trajo ajustes del salario mínimo en la mayoría de países de Latinoamérica. La huella inflacionaria del 2023 mantiene una discusión constante sobre los ingresos y gastos en cada hogar. Por estas razones,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Lamudi</w:t>
        </w:r>
      </w:hyperlink>
      <w:r w:rsidDel="00000000" w:rsidR="00000000" w:rsidRPr="00000000">
        <w:rPr>
          <w:color w:val="111111"/>
          <w:rtl w:val="0"/>
        </w:rPr>
        <w:t xml:space="preserve">, </w:t>
      </w:r>
      <w:r w:rsidDel="00000000" w:rsidR="00000000" w:rsidRPr="00000000">
        <w:rPr>
          <w:rtl w:val="0"/>
        </w:rPr>
        <w:t xml:space="preserve">el portal inmobiliario líder en México</w:t>
      </w:r>
      <w:r w:rsidDel="00000000" w:rsidR="00000000" w:rsidRPr="00000000">
        <w:rPr>
          <w:color w:val="111111"/>
          <w:rtl w:val="0"/>
        </w:rPr>
        <w:t xml:space="preserve">,</w:t>
      </w:r>
      <w:r w:rsidDel="00000000" w:rsidR="00000000" w:rsidRPr="00000000">
        <w:rPr>
          <w:rtl w:val="0"/>
        </w:rPr>
        <w:t xml:space="preserve"> presenta un análisis de datos que explora la relación entre la renta de una vivienda de clase media y el salario mínimo, en 17 ciudades de la región.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Lamudi comparó el costo promedio de rentar un departamento en un </w:t>
      </w:r>
      <w:r w:rsidDel="00000000" w:rsidR="00000000" w:rsidRPr="00000000">
        <w:rPr>
          <w:b w:val="1"/>
          <w:rtl w:val="0"/>
        </w:rPr>
        <w:t xml:space="preserve">barrio representativo de clase media de cada ciudad</w:t>
      </w:r>
      <w:r w:rsidDel="00000000" w:rsidR="00000000" w:rsidRPr="00000000">
        <w:rPr>
          <w:rtl w:val="0"/>
        </w:rPr>
        <w:t xml:space="preserve"> con el salario mínimo. El siguiente gráfico muestra esa relación: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266950" cy="1632899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0" cy="16328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rFonts w:ascii="Courier New" w:cs="Courier New" w:eastAsia="Courier New" w:hAnsi="Courier New"/>
          <w:b w:val="1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Embed Code | Inserta el gráfico en tu web</w:t>
      </w:r>
    </w:p>
    <w:tbl>
      <w:tblPr>
        <w:tblStyle w:val="Table1"/>
        <w:jc w:val="left"/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"https://bit.ly/salario-minimo-alquiler-properati-lamudi-trovit-"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"Latinoamérica: ¿Cuántos salarios cuesta un alquiler de clase media?"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"width:100%;height:650px;"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2"/>
        <w:jc w:val="both"/>
        <w:rPr/>
      </w:pPr>
      <w:bookmarkStart w:colFirst="0" w:colLast="0" w:name="_jswjmqlb6utp" w:id="1"/>
      <w:bookmarkEnd w:id="1"/>
      <w:r w:rsidDel="00000000" w:rsidR="00000000" w:rsidRPr="00000000">
        <w:rPr>
          <w:rtl w:val="0"/>
        </w:rPr>
        <w:t xml:space="preserve">Salario mínimo es insuficiente para pagar un alquiler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 salario mínimo no alcanza para rentar una vivienda de clase media en 16 de las 17 ciudades analizadas. </w:t>
      </w:r>
      <w:r w:rsidDel="00000000" w:rsidR="00000000" w:rsidRPr="00000000">
        <w:rPr>
          <w:rtl w:val="0"/>
        </w:rPr>
        <w:t xml:space="preserve">Los casos más llamativos ocurren en Ciudad de México (Narvarte) y Guadalajara (Chapalita), donde el alquiler promedio de un departamento de clase media cuesta USD 1295 y USD 1281 respectivamente, equivalentes a </w:t>
      </w:r>
      <w:r w:rsidDel="00000000" w:rsidR="00000000" w:rsidRPr="00000000">
        <w:rPr>
          <w:b w:val="1"/>
          <w:rtl w:val="0"/>
        </w:rPr>
        <w:t xml:space="preserve">3 salarios mínimos</w:t>
      </w:r>
      <w:r w:rsidDel="00000000" w:rsidR="00000000" w:rsidRPr="00000000">
        <w:rPr>
          <w:rtl w:val="0"/>
        </w:rPr>
        <w:t xml:space="preserve"> mensuales mexicanos; también llama la atención Buenos Aires (Caballito), donde el precio medio es de USD 525 o 2.7 salarios mínimos en Argentina.</w:t>
      </w:r>
      <w:r w:rsidDel="00000000" w:rsidR="00000000" w:rsidRPr="00000000">
        <w:rPr>
          <w:rtl w:val="0"/>
        </w:rPr>
        <w:t xml:space="preserve"> Del mismo modo, en Lima (La Molina) y Monterrey (Roma) la renta de un departamento de clase media requiere 2.4 y 2.1 salarios mínimos respectivamente, equivalentes a USD 660 y USD 907. </w:t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 urbes como Ciudad de Panamá, Córdoba, Rosario, Medellín, Bogotá y Arequipa se observa un fenómeno común: el alquiler de un departamento de clase media requiere </w:t>
      </w:r>
      <w:r w:rsidDel="00000000" w:rsidR="00000000" w:rsidRPr="00000000">
        <w:rPr>
          <w:b w:val="1"/>
          <w:rtl w:val="0"/>
        </w:rPr>
        <w:t xml:space="preserve">entre 1.5 y 1.8 salarios mínimos.</w:t>
      </w:r>
      <w:r w:rsidDel="00000000" w:rsidR="00000000" w:rsidRPr="00000000">
        <w:rPr>
          <w:rtl w:val="0"/>
        </w:rPr>
        <w:t xml:space="preserve"> Por ejemplo, en Ciudad de Panamá (El Cangrejo), el alquiler promedio es de USD 1130 y en Rosario (Nuestra Sra. de Lourdes) es de USD 342, ambas cifras equivalen a 1.8 salarios mínimos en sus respectivos países. En Medellín (La América) y Bogotá (Modelia), la renta oscila entre USD 523 y USD 510, lo que representa aproximadamente 1.6 salarios mínimos colombianos. Mientras tanto, en Arequipa (Cerro Colorado) y Córdoba (Alberdi), el alquiler medio es de USD 417 y USD 296, equivalentes a 1.5 salarios mínimos en sus países.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su parte,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Cali (Valle del Lili), el arriendo promedio es de USD 403 o 1.2 salarios mínimos colombianos, mientras que en Quito (Ponceano) y Guayaquil (Alborada) el precio promedio es de USD 485 y USD 434, equivalentes a 1.1 y 0.9 salarios mínimos, respectivamente.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salario mínimo mensual, en dólares, en los países analizados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47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240"/>
        <w:tblGridChange w:id="0">
          <w:tblGrid>
            <w:gridCol w:w="1500"/>
            <w:gridCol w:w="32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00000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Salario Mínimo Mensual (USD)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Panamá</w:t>
            </w:r>
          </w:p>
        </w:tc>
        <w:tc>
          <w:tcPr>
            <w:tcBorders>
              <w:top w:color="000000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$637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Uruguay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$564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Chile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$515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Ecuador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$460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México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$428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Colombia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$323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Perú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$270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Argentina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$193</w:t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jc w:val="both"/>
        <w:rPr>
          <w:b w:val="1"/>
          <w:sz w:val="32"/>
          <w:szCs w:val="32"/>
        </w:rPr>
      </w:pPr>
      <w:bookmarkStart w:colFirst="0" w:colLast="0" w:name="_mdp8zua3ca9" w:id="2"/>
      <w:bookmarkEnd w:id="2"/>
      <w:r w:rsidDel="00000000" w:rsidR="00000000" w:rsidRPr="00000000">
        <w:rPr>
          <w:b w:val="1"/>
          <w:sz w:val="32"/>
          <w:szCs w:val="32"/>
          <w:rtl w:val="0"/>
        </w:rPr>
        <w:t xml:space="preserve">El ingreso ideal para rentar una vivienda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Lamudi</w:t>
      </w:r>
      <w:r w:rsidDel="00000000" w:rsidR="00000000" w:rsidRPr="00000000">
        <w:rPr>
          <w:rtl w:val="0"/>
        </w:rPr>
        <w:t xml:space="preserve"> calculó cuáles deberían ser los ingresos mensuales de un hogar, en dólares, para que el alquiler de una vivienda no supere el 40% de sus remuneraciones. Según la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Organización para la Cooperación y el Desarrollo Económico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OCDE</w:t>
        </w:r>
      </w:hyperlink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rtl w:val="0"/>
        </w:rPr>
        <w:t xml:space="preserve">un hogar que gasta más del 40% de sus ingresos mensuales en vivienda (alquiler o hipoteca) incurre en una sobrecarga del costo de vivienda.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En el siguiente gráfico puedes ver el panorama a nivel regional.</w:t>
      </w:r>
    </w:p>
    <w:p w:rsidR="00000000" w:rsidDel="00000000" w:rsidP="00000000" w:rsidRDefault="00000000" w:rsidRPr="00000000" w14:paraId="00000022">
      <w:pPr>
        <w:spacing w:after="200" w:line="240" w:lineRule="auto"/>
        <w:jc w:val="center"/>
        <w:rPr>
          <w:rFonts w:ascii="Montserrat" w:cs="Montserrat" w:eastAsia="Montserrat" w:hAnsi="Montserrat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</w:rPr>
          <w:drawing>
            <wp:inline distB="114300" distT="114300" distL="114300" distR="114300">
              <wp:extent cx="2518187" cy="2033588"/>
              <wp:effectExtent b="0" l="0" r="0" t="0"/>
              <wp:docPr id="4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8187" cy="203358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center"/>
        <w:rPr>
          <w:rFonts w:ascii="Courier New" w:cs="Courier New" w:eastAsia="Courier New" w:hAnsi="Courier New"/>
          <w:b w:val="1"/>
        </w:rPr>
      </w:pPr>
      <w:hyperlink r:id="rId14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Embed Code | Inserta el gráfico en tu web</w:t>
      </w:r>
    </w:p>
    <w:tbl>
      <w:tblPr>
        <w:tblStyle w:val="Table3"/>
        <w:jc w:val="left"/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"https://bit.ly/salario-ideal-properati-lamudi-trovit"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"El Ingreso Ideal para alquilar una vivienda de clase media en Latinoamérica"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"width:100%;height:650px;"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4"/>
                <w:szCs w:val="14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4"/>
                <w:szCs w:val="14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4"/>
                <w:szCs w:val="14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80" w:lineRule="auto"/>
        <w:rPr/>
      </w:pPr>
      <w:r w:rsidDel="00000000" w:rsidR="00000000" w:rsidRPr="00000000">
        <w:rPr>
          <w:rtl w:val="0"/>
        </w:rPr>
        <w:t xml:space="preserve">Para cumplir con las recomendaciones de la OCDE respecto a pagar máximo el 40% de los ingresos en alquiler, un hogar en Ciudad de México </w:t>
      </w:r>
      <w:r w:rsidDel="00000000" w:rsidR="00000000" w:rsidRPr="00000000">
        <w:rPr>
          <w:rtl w:val="0"/>
        </w:rPr>
        <w:t xml:space="preserve">(Narvarte)</w:t>
      </w:r>
      <w:r w:rsidDel="00000000" w:rsidR="00000000" w:rsidRPr="00000000">
        <w:rPr>
          <w:rtl w:val="0"/>
        </w:rPr>
        <w:t xml:space="preserve"> requiere tener una remuneración ideal de  USD 3236 al mes, mientras que en Córdoba </w:t>
      </w:r>
      <w:r w:rsidDel="00000000" w:rsidR="00000000" w:rsidRPr="00000000">
        <w:rPr>
          <w:rtl w:val="0"/>
        </w:rPr>
        <w:t xml:space="preserve">(Alberdi)</w:t>
      </w:r>
      <w:r w:rsidDel="00000000" w:rsidR="00000000" w:rsidRPr="00000000">
        <w:rPr>
          <w:rtl w:val="0"/>
        </w:rPr>
        <w:t xml:space="preserve">, se necesita en promedio USD 740.</w:t>
      </w:r>
    </w:p>
    <w:p w:rsidR="00000000" w:rsidDel="00000000" w:rsidP="00000000" w:rsidRDefault="00000000" w:rsidRPr="00000000" w14:paraId="00000027">
      <w:pPr>
        <w:spacing w:before="80" w:lineRule="auto"/>
        <w:rPr/>
      </w:pPr>
      <w:r w:rsidDel="00000000" w:rsidR="00000000" w:rsidRPr="00000000">
        <w:rPr>
          <w:rtl w:val="0"/>
        </w:rPr>
        <w:t xml:space="preserve">A nivel regional, México destaca por tener las ciudades con costos de alquiler más altos, como Guadalajara y Monterrey, y por ende, los ingresos ideales más altos, mientras que las opciones más asequibles se encuentran fuera de las capitales de Colombia, Ecuador y Argentina, en ciudades como Cali, Guayaquil y Córdoba, respectivamente.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Metodología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Lamudi</w:t>
      </w:r>
      <w:r w:rsidDel="00000000" w:rsidR="00000000" w:rsidRPr="00000000">
        <w:rPr>
          <w:sz w:val="20"/>
          <w:szCs w:val="20"/>
          <w:rtl w:val="0"/>
        </w:rPr>
        <w:t xml:space="preserve"> consideró apartamentos de 2 y 3 habitaciones disponibles en arriendo entre noviembre de 2023  y enero de 2024.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portal eligió sectores (nombradas en cada país como comunas, barrios, distritos o colonias) definidos como residenciales en donde viven personas con ingresos medios en cada país.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utilizó el salario mínimo determinado para febrero de 2024 por las autoridades oficiales de Argentina, Chile, Colombia, Ecuador, México, Panamá, Perú y Uruguay.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portal se guió por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Eurostat </w:t>
        </w:r>
      </w:hyperlink>
      <w:r w:rsidDel="00000000" w:rsidR="00000000" w:rsidRPr="00000000">
        <w:rPr>
          <w:sz w:val="20"/>
          <w:szCs w:val="20"/>
          <w:rtl w:val="0"/>
        </w:rPr>
        <w:t xml:space="preserve">y la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Organización para la Cooperación y el Desarrollo Económicos (OCDE)</w:t>
        </w:r>
      </w:hyperlink>
      <w:r w:rsidDel="00000000" w:rsidR="00000000" w:rsidRPr="00000000">
        <w:rPr>
          <w:sz w:val="20"/>
          <w:szCs w:val="20"/>
          <w:rtl w:val="0"/>
        </w:rPr>
        <w:t xml:space="preserve"> para establecer la regla del 40% de gasto en renta y calcular el ingreso ideal.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Sobre Lamudi y LIFULL Connect</w:t>
      </w:r>
    </w:p>
    <w:p w:rsidR="00000000" w:rsidDel="00000000" w:rsidP="00000000" w:rsidRDefault="00000000" w:rsidRPr="00000000" w14:paraId="0000002E">
      <w:pPr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Lamudi México es la plataforma en línea líder en bienes raíces que conecta a quienes buscan propiedades con profesionales del sector. Lanzado en 2013, Lamudi se convirtió rápidamente en un destino digital para quienes buscan comprar, alquilar o vender propiedades en todo el país. La interfaz fácil de usar y las características intuitivas de Lamudi México facilitan que cualquier persona encuentre la propiedad de sus sueños. En 2023 pasó a formar parte de Lifull Connect, el grupo líder en plataformas de venta y agregadores digitales propiedad de LIFULL. Atiende a más de 180 millones de usuarios mensualmente, con más de 250 sitios en 63 países. </w:t>
      </w:r>
      <w:r w:rsidDel="00000000" w:rsidR="00000000" w:rsidRPr="00000000">
        <w:rPr>
          <w:rtl w:val="0"/>
        </w:rPr>
      </w:r>
    </w:p>
    <w:tbl>
      <w:tblPr>
        <w:tblStyle w:val="Table4"/>
        <w:tblW w:w="798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35"/>
        <w:gridCol w:w="3345"/>
        <w:tblGridChange w:id="0">
          <w:tblGrid>
            <w:gridCol w:w="4635"/>
            <w:gridCol w:w="3345"/>
          </w:tblGrid>
        </w:tblGridChange>
      </w:tblGrid>
      <w:tr>
        <w:trPr>
          <w:cantSplit w:val="0"/>
          <w:trHeight w:val="1111.501718749999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0" w:line="276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Contacto de prensa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161925</wp:posOffset>
                  </wp:positionV>
                  <wp:extent cx="853174" cy="293075"/>
                  <wp:effectExtent b="0" l="0" r="0" t="0"/>
                  <wp:wrapNone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17484" l="16000" r="16800" t="23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74" cy="29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Giselle Martínez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Journalist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prensa@lifullconnect.com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+52 5611789382</w:t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178ycn6p6sp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nsola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ExtraBold">
    <w:embedBold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200" w:lineRule="auto"/>
      <w:rPr/>
    </w:pPr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Para más información, contacta a:</w:t>
    </w:r>
    <w:r w:rsidDel="00000000" w:rsidR="00000000" w:rsidRPr="00000000">
      <w:rPr>
        <w:rFonts w:ascii="Roboto" w:cs="Roboto" w:eastAsia="Roboto" w:hAnsi="Roboto"/>
        <w:color w:val="4a86e8"/>
        <w:sz w:val="18"/>
        <w:szCs w:val="18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4a86e8"/>
          <w:sz w:val="18"/>
          <w:szCs w:val="18"/>
          <w:u w:val="single"/>
          <w:rtl w:val="0"/>
        </w:rPr>
        <w:t xml:space="preserve">prensa@lifullconnect.com</w:t>
      </w:r>
    </w:hyperlink>
    <w:r w:rsidDel="00000000" w:rsidR="00000000" w:rsidRPr="00000000">
      <w:rPr>
        <w:rFonts w:ascii="Montserrat" w:cs="Montserrat" w:eastAsia="Montserrat" w:hAnsi="Montserrat"/>
        <w:rtl w:val="0"/>
      </w:rPr>
      <w:t xml:space="preserve"> </w:t>
      <w:tab/>
      <w:tab/>
      <w:tab/>
      <w:tab/>
      <w:tab/>
      <w:tab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de </w:t>
    </w:r>
    <w:r w:rsidDel="00000000" w:rsidR="00000000" w:rsidRPr="00000000">
      <w:rPr>
        <w:color w:val="999999"/>
        <w:sz w:val="20"/>
        <w:szCs w:val="20"/>
        <w:rtl w:val="0"/>
      </w:rPr>
      <w:t xml:space="preserve">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5261610</wp:posOffset>
          </wp:positionH>
          <wp:positionV relativeFrom="paragraph">
            <wp:posOffset>-238124</wp:posOffset>
          </wp:positionV>
          <wp:extent cx="1051560" cy="27432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1560" cy="274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after="8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ExtraBold" w:cs="Montserrat ExtraBold" w:eastAsia="Montserrat ExtraBold" w:hAnsi="Montserrat ExtraBold"/>
      <w:color w:val="313037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Rule="auto"/>
    </w:pPr>
    <w:rPr>
      <w:rFonts w:ascii="Montserrat ExtraBold" w:cs="Montserrat ExtraBold" w:eastAsia="Montserrat ExtraBold" w:hAnsi="Montserrat ExtraBold"/>
      <w:color w:val="31303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31303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00b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e4252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d6103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2e374f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ecd.org/els/family/HC1-2-Housing-costs-over-income.pdf" TargetMode="External"/><Relationship Id="rId10" Type="http://schemas.openxmlformats.org/officeDocument/2006/relationships/hyperlink" Target="https://www.oecd.org/els/family/HC1-2-Housing-costs-over-income.pdf" TargetMode="External"/><Relationship Id="rId13" Type="http://schemas.openxmlformats.org/officeDocument/2006/relationships/image" Target="media/image2.jpg"/><Relationship Id="rId12" Type="http://schemas.openxmlformats.org/officeDocument/2006/relationships/hyperlink" Target="https://bit.ly/salario-ideal-properati-lamudi-trov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salario-minimo-alquiler-properati-lamudi-trovit-" TargetMode="External"/><Relationship Id="rId15" Type="http://schemas.openxmlformats.org/officeDocument/2006/relationships/hyperlink" Target="https://ec.europa.eu/eurostat/statistics-explained/index.php?title=Glossary:Housing_cost_overburden_rate&amp;lang=en" TargetMode="External"/><Relationship Id="rId14" Type="http://schemas.openxmlformats.org/officeDocument/2006/relationships/hyperlink" Target="https://bit.ly/salario-ideal-properati-lamudi-trovit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s://www.oecd.org/els/family/HC1-2-Housing-costs-over-income.pdf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lamudi.com.mx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bit.ly/salario-minimo-alquiler-properati-lamudi-trovit-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ontserratLight-italic.ttf"/><Relationship Id="rId10" Type="http://schemas.openxmlformats.org/officeDocument/2006/relationships/font" Target="fonts/MontserratLight-bold.ttf"/><Relationship Id="rId13" Type="http://schemas.openxmlformats.org/officeDocument/2006/relationships/font" Target="fonts/MontserratExtraBold-bold.ttf"/><Relationship Id="rId12" Type="http://schemas.openxmlformats.org/officeDocument/2006/relationships/font" Target="fonts/MontserratLight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MontserratLight-regular.ttf"/><Relationship Id="rId14" Type="http://schemas.openxmlformats.org/officeDocument/2006/relationships/font" Target="fonts/MontserratExtra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nsa@lifullconnec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