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00" w:lineRule="auto"/>
        <w:rPr/>
      </w:pPr>
      <w:bookmarkStart w:colFirst="0" w:colLast="0" w:name="_c0pzizz8qvus" w:id="0"/>
      <w:bookmarkEnd w:id="0"/>
      <w:r w:rsidDel="00000000" w:rsidR="00000000" w:rsidRPr="00000000">
        <w:rPr>
          <w:rtl w:val="0"/>
        </w:rPr>
        <w:t xml:space="preserve">Precio de viviendas en venta, ¿sigue en aumento este 2023? </w:t>
      </w:r>
      <w:r w:rsidDel="00000000" w:rsidR="00000000" w:rsidRPr="00000000">
        <w:rPr>
          <w:rtl w:val="0"/>
        </w:rPr>
      </w:r>
    </w:p>
    <w:p w:rsidR="00000000" w:rsidDel="00000000" w:rsidP="00000000" w:rsidRDefault="00000000" w:rsidRPr="00000000" w14:paraId="00000002">
      <w:pPr>
        <w:spacing w:after="200" w:lineRule="auto"/>
        <w:jc w:val="both"/>
        <w:rPr/>
      </w:pPr>
      <w:r w:rsidDel="00000000" w:rsidR="00000000" w:rsidRPr="00000000">
        <w:rPr>
          <w:b w:val="1"/>
          <w:rtl w:val="0"/>
        </w:rPr>
        <w:t xml:space="preserve">24</w:t>
      </w:r>
      <w:r w:rsidDel="00000000" w:rsidR="00000000" w:rsidRPr="00000000">
        <w:rPr>
          <w:rFonts w:ascii="Montserrat" w:cs="Montserrat" w:eastAsia="Montserrat" w:hAnsi="Montserrat"/>
          <w:b w:val="1"/>
          <w:rtl w:val="0"/>
        </w:rPr>
        <w:t xml:space="preserve"> de julio de 2023, Ciudad de México.</w:t>
      </w:r>
      <w:r w:rsidDel="00000000" w:rsidR="00000000" w:rsidRPr="00000000">
        <w:rPr>
          <w:rFonts w:ascii="Montserrat" w:cs="Montserrat" w:eastAsia="Montserrat" w:hAnsi="Montserrat"/>
          <w:rtl w:val="0"/>
        </w:rPr>
        <w:t xml:space="preserve"> </w:t>
      </w:r>
      <w:hyperlink r:id="rId6">
        <w:r w:rsidDel="00000000" w:rsidR="00000000" w:rsidRPr="00000000">
          <w:rPr>
            <w:color w:val="1155cc"/>
            <w:u w:val="single"/>
            <w:rtl w:val="0"/>
          </w:rPr>
          <w:t xml:space="preserve">Lamudi</w:t>
        </w:r>
      </w:hyperlink>
      <w:r w:rsidDel="00000000" w:rsidR="00000000" w:rsidRPr="00000000">
        <w:rPr>
          <w:rtl w:val="0"/>
        </w:rPr>
        <w:t xml:space="preserve">, el portal inmobiliario líder en México</w:t>
      </w:r>
      <w:r w:rsidDel="00000000" w:rsidR="00000000" w:rsidRPr="00000000">
        <w:rPr>
          <w:rtl w:val="0"/>
        </w:rPr>
        <w:t xml:space="preserve">, </w:t>
      </w:r>
      <w:r w:rsidDel="00000000" w:rsidR="00000000" w:rsidRPr="00000000">
        <w:rPr>
          <w:rtl w:val="0"/>
        </w:rPr>
        <w:t xml:space="preserve">analizó el precio promedio de venta durante el primer semestre de 2023 en los </w:t>
      </w:r>
      <w:r w:rsidDel="00000000" w:rsidR="00000000" w:rsidRPr="00000000">
        <w:rPr>
          <w:rtl w:val="0"/>
        </w:rPr>
        <w:t xml:space="preserve">tres principales </w:t>
      </w:r>
      <w:r w:rsidDel="00000000" w:rsidR="00000000" w:rsidRPr="00000000">
        <w:rPr>
          <w:rtl w:val="0"/>
        </w:rPr>
        <w:t xml:space="preserve">estados del país. ¿Cómo se ha modificado y qué factores influyeron?</w:t>
      </w:r>
      <w:r w:rsidDel="00000000" w:rsidR="00000000" w:rsidRPr="00000000">
        <w:rPr>
          <w:rtl w:val="0"/>
        </w:rPr>
        <w:t xml:space="preserve"> </w:t>
      </w:r>
      <w:r w:rsidDel="00000000" w:rsidR="00000000" w:rsidRPr="00000000">
        <w:rPr>
          <w:rtl w:val="0"/>
        </w:rPr>
        <w:t xml:space="preserve">Los resultados del estudio se presentan a continuación.</w:t>
      </w:r>
    </w:p>
    <w:p w:rsidR="00000000" w:rsidDel="00000000" w:rsidP="00000000" w:rsidRDefault="00000000" w:rsidRPr="00000000" w14:paraId="00000003">
      <w:pPr>
        <w:spacing w:after="200" w:lineRule="auto"/>
        <w:jc w:val="both"/>
        <w:rPr/>
      </w:pPr>
      <w:r w:rsidDel="00000000" w:rsidR="00000000" w:rsidRPr="00000000">
        <w:rPr>
          <w:rtl w:val="0"/>
        </w:rPr>
        <w:t xml:space="preserve">En un contexto dónde la inflación continúa alta </w:t>
      </w:r>
      <w:r w:rsidDel="00000000" w:rsidR="00000000" w:rsidRPr="00000000">
        <w:rPr>
          <w:rtl w:val="0"/>
        </w:rPr>
        <w:t xml:space="preserve">(</w:t>
      </w:r>
      <w:hyperlink r:id="rId7">
        <w:r w:rsidDel="00000000" w:rsidR="00000000" w:rsidRPr="00000000">
          <w:rPr>
            <w:color w:val="1155cc"/>
            <w:u w:val="single"/>
            <w:rtl w:val="0"/>
          </w:rPr>
          <w:t xml:space="preserve">5.18% anual</w:t>
        </w:r>
      </w:hyperlink>
      <w:r w:rsidDel="00000000" w:rsidR="00000000" w:rsidRPr="00000000">
        <w:rPr>
          <w:rtl w:val="0"/>
        </w:rPr>
        <w:t xml:space="preserve">)</w:t>
      </w:r>
      <w:r w:rsidDel="00000000" w:rsidR="00000000" w:rsidRPr="00000000">
        <w:rPr>
          <w:rtl w:val="0"/>
        </w:rPr>
        <w:t xml:space="preserve">, y la tasa de crédito hipotecaria se elevó 0.16% (11.20%, enero; y 11.36%, mayo), Jalisco y Ciudad de México experimentaron una ligera baja en los precios de venta; y</w:t>
      </w:r>
      <w:r w:rsidDel="00000000" w:rsidR="00000000" w:rsidRPr="00000000">
        <w:rPr>
          <w:rtl w:val="0"/>
        </w:rPr>
        <w:t xml:space="preserve"> Nuevo León terminó el semestre con cifras a la alza.  </w:t>
      </w: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En la siguiente gráfica se muestra la variación en el precio promedio de venta por m</w:t>
      </w:r>
      <w:r w:rsidDel="00000000" w:rsidR="00000000" w:rsidRPr="00000000">
        <w:rPr>
          <w:vertAlign w:val="superscript"/>
          <w:rtl w:val="0"/>
        </w:rPr>
        <w:t xml:space="preserve">2</w:t>
      </w:r>
      <w:r w:rsidDel="00000000" w:rsidR="00000000" w:rsidRPr="00000000">
        <w:rPr>
          <w:rtl w:val="0"/>
        </w:rPr>
        <w:t xml:space="preserve"> con respecto a la tasa de crédito hipotecario de referencia. El tamaño de los círculos representa la variación mensual porcentual en las búsquedas. </w:t>
      </w:r>
    </w:p>
    <w:p w:rsidR="00000000" w:rsidDel="00000000" w:rsidP="00000000" w:rsidRDefault="00000000" w:rsidRPr="00000000" w14:paraId="00000005">
      <w:pPr>
        <w:jc w:val="center"/>
        <w:rPr/>
      </w:pPr>
      <w:r w:rsidDel="00000000" w:rsidR="00000000" w:rsidRPr="00000000">
        <w:rPr/>
        <w:drawing>
          <wp:inline distB="114300" distT="114300" distL="114300" distR="114300">
            <wp:extent cx="3081338" cy="2239642"/>
            <wp:effectExtent b="0" l="0" r="0" t="0"/>
            <wp:docPr id="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3081338" cy="2239642"/>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after="0" w:lineRule="auto"/>
        <w:jc w:val="center"/>
        <w:rPr/>
      </w:pPr>
      <w:hyperlink r:id="rId9">
        <w:r w:rsidDel="00000000" w:rsidR="00000000" w:rsidRPr="00000000">
          <w:rPr>
            <w:rFonts w:ascii="Consolas" w:cs="Consolas" w:eastAsia="Consolas" w:hAnsi="Consolas"/>
            <w:color w:val="1155cc"/>
            <w:sz w:val="24"/>
            <w:szCs w:val="24"/>
            <w:u w:val="single"/>
            <w:rtl w:val="0"/>
          </w:rPr>
          <w:t xml:space="preserve">Ver gráfico</w:t>
        </w:r>
      </w:hyperlink>
      <w:r w:rsidDel="00000000" w:rsidR="00000000" w:rsidRPr="00000000">
        <w:rPr>
          <w:rtl w:val="0"/>
        </w:rPr>
      </w:r>
    </w:p>
    <w:p w:rsidR="00000000" w:rsidDel="00000000" w:rsidP="00000000" w:rsidRDefault="00000000" w:rsidRPr="00000000" w14:paraId="00000007">
      <w:pPr>
        <w:spacing w:after="120" w:lineRule="auto"/>
        <w:jc w:val="center"/>
        <w:rPr>
          <w:rFonts w:ascii="Consolas" w:cs="Consolas" w:eastAsia="Consolas" w:hAnsi="Consolas"/>
          <w:sz w:val="16"/>
          <w:szCs w:val="16"/>
        </w:rPr>
      </w:pPr>
      <w:r w:rsidDel="00000000" w:rsidR="00000000" w:rsidRPr="00000000">
        <w:rPr>
          <w:rFonts w:ascii="Consolas" w:cs="Consolas" w:eastAsia="Consolas" w:hAnsi="Consolas"/>
          <w:sz w:val="16"/>
          <w:szCs w:val="16"/>
          <w:rtl w:val="0"/>
        </w:rPr>
        <w:t xml:space="preserve">(El gráfico es público e interactivo con el fin de que los usuarios puedan entender mejor la información, es totalmente seguro agregar el código a la publicación como “Embed Code”.)</w:t>
      </w:r>
    </w:p>
    <w:p w:rsidR="00000000" w:rsidDel="00000000" w:rsidP="00000000" w:rsidRDefault="00000000" w:rsidRPr="00000000" w14:paraId="00000008">
      <w:pPr>
        <w:spacing w:after="0" w:lineRule="auto"/>
        <w:jc w:val="center"/>
        <w:rPr>
          <w:rFonts w:ascii="Consolas" w:cs="Consolas" w:eastAsia="Consolas" w:hAnsi="Consolas"/>
          <w:color w:val="6aa84f"/>
          <w:sz w:val="24"/>
          <w:szCs w:val="24"/>
        </w:rPr>
      </w:pPr>
      <w:r w:rsidDel="00000000" w:rsidR="00000000" w:rsidRPr="00000000">
        <w:rPr>
          <w:rFonts w:ascii="Consolas" w:cs="Consolas" w:eastAsia="Consolas" w:hAnsi="Consolas"/>
          <w:color w:val="6aa84f"/>
          <w:sz w:val="24"/>
          <w:szCs w:val="24"/>
          <w:rtl w:val="0"/>
        </w:rPr>
        <w:t xml:space="preserve">Inserta el gráfico en nota web [EMBED CODE]</w:t>
      </w:r>
    </w:p>
    <w:tbl>
      <w:tblPr>
        <w:tblStyle w:val="Table1"/>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Fonts w:ascii="Consolas" w:cs="Consolas" w:eastAsia="Consolas" w:hAnsi="Consolas"/>
                <w:color w:val="ffffff"/>
                <w:sz w:val="16"/>
                <w:szCs w:val="16"/>
                <w:shd w:fill="002451" w:val="clear"/>
                <w:rtl w:val="0"/>
              </w:rPr>
              <w:t xml:space="preserve">&lt;iframe </w:t>
            </w:r>
            <w:r w:rsidDel="00000000" w:rsidR="00000000" w:rsidRPr="00000000">
              <w:rPr>
                <w:rFonts w:ascii="Consolas" w:cs="Consolas" w:eastAsia="Consolas" w:hAnsi="Consolas"/>
                <w:color w:val="ffeead"/>
                <w:sz w:val="16"/>
                <w:szCs w:val="16"/>
                <w:shd w:fill="002451" w:val="clear"/>
                <w:rtl w:val="0"/>
              </w:rPr>
              <w:t xml:space="preserve">src</w:t>
            </w:r>
            <w:r w:rsidDel="00000000" w:rsidR="00000000" w:rsidRPr="00000000">
              <w:rPr>
                <w:rFonts w:ascii="Consolas" w:cs="Consolas" w:eastAsia="Consolas" w:hAnsi="Consolas"/>
                <w:color w:val="ffffff"/>
                <w:sz w:val="16"/>
                <w:szCs w:val="16"/>
                <w:shd w:fill="002451" w:val="clear"/>
                <w:rtl w:val="0"/>
              </w:rPr>
              <w:t xml:space="preserve">=</w:t>
            </w:r>
            <w:r w:rsidDel="00000000" w:rsidR="00000000" w:rsidRPr="00000000">
              <w:rPr>
                <w:rFonts w:ascii="Consolas" w:cs="Consolas" w:eastAsia="Consolas" w:hAnsi="Consolas"/>
                <w:color w:val="d1f1a9"/>
                <w:sz w:val="16"/>
                <w:szCs w:val="16"/>
                <w:shd w:fill="002451" w:val="clear"/>
                <w:rtl w:val="0"/>
              </w:rPr>
              <w:t xml:space="preserve">"https://bit.ly/lamudi-precios-venta-cdmx-jalisco-nuevo-leon-2023"</w:t>
            </w:r>
            <w:r w:rsidDel="00000000" w:rsidR="00000000" w:rsidRPr="00000000">
              <w:rPr>
                <w:rFonts w:ascii="Consolas" w:cs="Consolas" w:eastAsia="Consolas" w:hAnsi="Consolas"/>
                <w:color w:val="ffffff"/>
                <w:sz w:val="16"/>
                <w:szCs w:val="16"/>
                <w:shd w:fill="002451" w:val="clear"/>
                <w:rtl w:val="0"/>
              </w:rPr>
              <w:t xml:space="preserve"> </w:t>
            </w:r>
            <w:r w:rsidDel="00000000" w:rsidR="00000000" w:rsidRPr="00000000">
              <w:rPr>
                <w:rFonts w:ascii="Consolas" w:cs="Consolas" w:eastAsia="Consolas" w:hAnsi="Consolas"/>
                <w:color w:val="ffeead"/>
                <w:sz w:val="16"/>
                <w:szCs w:val="16"/>
                <w:shd w:fill="002451" w:val="clear"/>
                <w:rtl w:val="0"/>
              </w:rPr>
              <w:t xml:space="preserve">title</w:t>
            </w:r>
            <w:r w:rsidDel="00000000" w:rsidR="00000000" w:rsidRPr="00000000">
              <w:rPr>
                <w:rFonts w:ascii="Consolas" w:cs="Consolas" w:eastAsia="Consolas" w:hAnsi="Consolas"/>
                <w:color w:val="ffffff"/>
                <w:sz w:val="16"/>
                <w:szCs w:val="16"/>
                <w:shd w:fill="002451" w:val="clear"/>
                <w:rtl w:val="0"/>
              </w:rPr>
              <w:t xml:space="preserve">=</w:t>
            </w:r>
            <w:r w:rsidDel="00000000" w:rsidR="00000000" w:rsidRPr="00000000">
              <w:rPr>
                <w:rFonts w:ascii="Consolas" w:cs="Consolas" w:eastAsia="Consolas" w:hAnsi="Consolas"/>
                <w:color w:val="d1f1a9"/>
                <w:sz w:val="16"/>
                <w:szCs w:val="16"/>
                <w:shd w:fill="002451" w:val="clear"/>
                <w:rtl w:val="0"/>
              </w:rPr>
              <w:t xml:space="preserve">"Precio de viviendas en venta: CDMX, Jalisco y Nuevo León"</w:t>
            </w:r>
            <w:r w:rsidDel="00000000" w:rsidR="00000000" w:rsidRPr="00000000">
              <w:rPr>
                <w:rFonts w:ascii="Consolas" w:cs="Consolas" w:eastAsia="Consolas" w:hAnsi="Consolas"/>
                <w:color w:val="ffffff"/>
                <w:sz w:val="16"/>
                <w:szCs w:val="16"/>
                <w:shd w:fill="002451" w:val="clear"/>
                <w:rtl w:val="0"/>
              </w:rPr>
              <w:t xml:space="preserve"> </w:t>
            </w:r>
            <w:r w:rsidDel="00000000" w:rsidR="00000000" w:rsidRPr="00000000">
              <w:rPr>
                <w:rFonts w:ascii="Consolas" w:cs="Consolas" w:eastAsia="Consolas" w:hAnsi="Consolas"/>
                <w:color w:val="ffeead"/>
                <w:sz w:val="16"/>
                <w:szCs w:val="16"/>
                <w:shd w:fill="002451" w:val="clear"/>
                <w:rtl w:val="0"/>
              </w:rPr>
              <w:t xml:space="preserve">class</w:t>
            </w:r>
            <w:r w:rsidDel="00000000" w:rsidR="00000000" w:rsidRPr="00000000">
              <w:rPr>
                <w:rFonts w:ascii="Consolas" w:cs="Consolas" w:eastAsia="Consolas" w:hAnsi="Consolas"/>
                <w:color w:val="ffffff"/>
                <w:sz w:val="16"/>
                <w:szCs w:val="16"/>
                <w:shd w:fill="002451" w:val="clear"/>
                <w:rtl w:val="0"/>
              </w:rPr>
              <w:t xml:space="preserve">=</w:t>
            </w:r>
            <w:r w:rsidDel="00000000" w:rsidR="00000000" w:rsidRPr="00000000">
              <w:rPr>
                <w:rFonts w:ascii="Consolas" w:cs="Consolas" w:eastAsia="Consolas" w:hAnsi="Consolas"/>
                <w:color w:val="d1f1a9"/>
                <w:sz w:val="16"/>
                <w:szCs w:val="16"/>
                <w:shd w:fill="002451" w:val="clear"/>
                <w:rtl w:val="0"/>
              </w:rPr>
              <w:t xml:space="preserve">"flourish-embed-iframe"</w:t>
            </w:r>
            <w:r w:rsidDel="00000000" w:rsidR="00000000" w:rsidRPr="00000000">
              <w:rPr>
                <w:rFonts w:ascii="Consolas" w:cs="Consolas" w:eastAsia="Consolas" w:hAnsi="Consolas"/>
                <w:color w:val="ffffff"/>
                <w:sz w:val="16"/>
                <w:szCs w:val="16"/>
                <w:shd w:fill="002451" w:val="clear"/>
                <w:rtl w:val="0"/>
              </w:rPr>
              <w:t xml:space="preserve"> </w:t>
            </w:r>
            <w:r w:rsidDel="00000000" w:rsidR="00000000" w:rsidRPr="00000000">
              <w:rPr>
                <w:rFonts w:ascii="Consolas" w:cs="Consolas" w:eastAsia="Consolas" w:hAnsi="Consolas"/>
                <w:color w:val="ffeead"/>
                <w:sz w:val="16"/>
                <w:szCs w:val="16"/>
                <w:shd w:fill="002451" w:val="clear"/>
                <w:rtl w:val="0"/>
              </w:rPr>
              <w:t xml:space="preserve">frameborder</w:t>
            </w:r>
            <w:r w:rsidDel="00000000" w:rsidR="00000000" w:rsidRPr="00000000">
              <w:rPr>
                <w:rFonts w:ascii="Consolas" w:cs="Consolas" w:eastAsia="Consolas" w:hAnsi="Consolas"/>
                <w:color w:val="ffffff"/>
                <w:sz w:val="16"/>
                <w:szCs w:val="16"/>
                <w:shd w:fill="002451" w:val="clear"/>
                <w:rtl w:val="0"/>
              </w:rPr>
              <w:t xml:space="preserve">=</w:t>
            </w:r>
            <w:r w:rsidDel="00000000" w:rsidR="00000000" w:rsidRPr="00000000">
              <w:rPr>
                <w:rFonts w:ascii="Consolas" w:cs="Consolas" w:eastAsia="Consolas" w:hAnsi="Consolas"/>
                <w:color w:val="d1f1a9"/>
                <w:sz w:val="16"/>
                <w:szCs w:val="16"/>
                <w:shd w:fill="002451" w:val="clear"/>
                <w:rtl w:val="0"/>
              </w:rPr>
              <w:t xml:space="preserve">"0"</w:t>
            </w:r>
            <w:r w:rsidDel="00000000" w:rsidR="00000000" w:rsidRPr="00000000">
              <w:rPr>
                <w:rFonts w:ascii="Consolas" w:cs="Consolas" w:eastAsia="Consolas" w:hAnsi="Consolas"/>
                <w:color w:val="ffffff"/>
                <w:sz w:val="16"/>
                <w:szCs w:val="16"/>
                <w:shd w:fill="002451" w:val="clear"/>
                <w:rtl w:val="0"/>
              </w:rPr>
              <w:t xml:space="preserve"> </w:t>
            </w:r>
            <w:r w:rsidDel="00000000" w:rsidR="00000000" w:rsidRPr="00000000">
              <w:rPr>
                <w:rFonts w:ascii="Consolas" w:cs="Consolas" w:eastAsia="Consolas" w:hAnsi="Consolas"/>
                <w:color w:val="ffeead"/>
                <w:sz w:val="16"/>
                <w:szCs w:val="16"/>
                <w:shd w:fill="002451" w:val="clear"/>
                <w:rtl w:val="0"/>
              </w:rPr>
              <w:t xml:space="preserve">scrolling</w:t>
            </w:r>
            <w:r w:rsidDel="00000000" w:rsidR="00000000" w:rsidRPr="00000000">
              <w:rPr>
                <w:rFonts w:ascii="Consolas" w:cs="Consolas" w:eastAsia="Consolas" w:hAnsi="Consolas"/>
                <w:color w:val="ffffff"/>
                <w:sz w:val="16"/>
                <w:szCs w:val="16"/>
                <w:shd w:fill="002451" w:val="clear"/>
                <w:rtl w:val="0"/>
              </w:rPr>
              <w:t xml:space="preserve">=</w:t>
            </w:r>
            <w:r w:rsidDel="00000000" w:rsidR="00000000" w:rsidRPr="00000000">
              <w:rPr>
                <w:rFonts w:ascii="Consolas" w:cs="Consolas" w:eastAsia="Consolas" w:hAnsi="Consolas"/>
                <w:color w:val="d1f1a9"/>
                <w:sz w:val="16"/>
                <w:szCs w:val="16"/>
                <w:shd w:fill="002451" w:val="clear"/>
                <w:rtl w:val="0"/>
              </w:rPr>
              <w:t xml:space="preserve">"no"</w:t>
            </w:r>
            <w:r w:rsidDel="00000000" w:rsidR="00000000" w:rsidRPr="00000000">
              <w:rPr>
                <w:rFonts w:ascii="Consolas" w:cs="Consolas" w:eastAsia="Consolas" w:hAnsi="Consolas"/>
                <w:color w:val="ffffff"/>
                <w:sz w:val="16"/>
                <w:szCs w:val="16"/>
                <w:shd w:fill="002451" w:val="clear"/>
                <w:rtl w:val="0"/>
              </w:rPr>
              <w:t xml:space="preserve"> </w:t>
            </w:r>
            <w:r w:rsidDel="00000000" w:rsidR="00000000" w:rsidRPr="00000000">
              <w:rPr>
                <w:rFonts w:ascii="Consolas" w:cs="Consolas" w:eastAsia="Consolas" w:hAnsi="Consolas"/>
                <w:color w:val="ffeead"/>
                <w:sz w:val="16"/>
                <w:szCs w:val="16"/>
                <w:shd w:fill="002451" w:val="clear"/>
                <w:rtl w:val="0"/>
              </w:rPr>
              <w:t xml:space="preserve">style</w:t>
            </w:r>
            <w:r w:rsidDel="00000000" w:rsidR="00000000" w:rsidRPr="00000000">
              <w:rPr>
                <w:rFonts w:ascii="Consolas" w:cs="Consolas" w:eastAsia="Consolas" w:hAnsi="Consolas"/>
                <w:color w:val="ffffff"/>
                <w:sz w:val="16"/>
                <w:szCs w:val="16"/>
                <w:shd w:fill="002451" w:val="clear"/>
                <w:rtl w:val="0"/>
              </w:rPr>
              <w:t xml:space="preserve">=</w:t>
            </w:r>
            <w:r w:rsidDel="00000000" w:rsidR="00000000" w:rsidRPr="00000000">
              <w:rPr>
                <w:rFonts w:ascii="Consolas" w:cs="Consolas" w:eastAsia="Consolas" w:hAnsi="Consolas"/>
                <w:color w:val="d1f1a9"/>
                <w:sz w:val="16"/>
                <w:szCs w:val="16"/>
                <w:shd w:fill="002451" w:val="clear"/>
                <w:rtl w:val="0"/>
              </w:rPr>
              <w:t xml:space="preserve">"width:100%;height:550px;"</w:t>
            </w:r>
            <w:r w:rsidDel="00000000" w:rsidR="00000000" w:rsidRPr="00000000">
              <w:rPr>
                <w:rFonts w:ascii="Consolas" w:cs="Consolas" w:eastAsia="Consolas" w:hAnsi="Consolas"/>
                <w:color w:val="ffffff"/>
                <w:sz w:val="16"/>
                <w:szCs w:val="16"/>
                <w:shd w:fill="002451" w:val="clear"/>
                <w:rtl w:val="0"/>
              </w:rPr>
              <w:t xml:space="preserve"> </w:t>
            </w:r>
            <w:r w:rsidDel="00000000" w:rsidR="00000000" w:rsidRPr="00000000">
              <w:rPr>
                <w:rFonts w:ascii="Consolas" w:cs="Consolas" w:eastAsia="Consolas" w:hAnsi="Consolas"/>
                <w:color w:val="ffeead"/>
                <w:sz w:val="16"/>
                <w:szCs w:val="16"/>
                <w:shd w:fill="002451" w:val="clear"/>
                <w:rtl w:val="0"/>
              </w:rPr>
              <w:t xml:space="preserve">sandbox</w:t>
            </w:r>
            <w:r w:rsidDel="00000000" w:rsidR="00000000" w:rsidRPr="00000000">
              <w:rPr>
                <w:rFonts w:ascii="Consolas" w:cs="Consolas" w:eastAsia="Consolas" w:hAnsi="Consolas"/>
                <w:color w:val="ffffff"/>
                <w:sz w:val="16"/>
                <w:szCs w:val="16"/>
                <w:shd w:fill="002451" w:val="clear"/>
                <w:rtl w:val="0"/>
              </w:rPr>
              <w:t xml:space="preserve">=</w:t>
            </w:r>
            <w:r w:rsidDel="00000000" w:rsidR="00000000" w:rsidRPr="00000000">
              <w:rPr>
                <w:rFonts w:ascii="Consolas" w:cs="Consolas" w:eastAsia="Consolas" w:hAnsi="Consolas"/>
                <w:color w:val="d1f1a9"/>
                <w:sz w:val="16"/>
                <w:szCs w:val="16"/>
                <w:shd w:fill="002451" w:val="clear"/>
                <w:rtl w:val="0"/>
              </w:rPr>
              <w:t xml:space="preserve">"allow-same-origin allow-forms allow-scripts allow-downloads allow-popups allow-popups-to-escape-sandbox allow-top-navigation-by-user-activation"</w:t>
            </w:r>
            <w:r w:rsidDel="00000000" w:rsidR="00000000" w:rsidRPr="00000000">
              <w:rPr>
                <w:rFonts w:ascii="Consolas" w:cs="Consolas" w:eastAsia="Consolas" w:hAnsi="Consolas"/>
                <w:color w:val="ffffff"/>
                <w:sz w:val="16"/>
                <w:szCs w:val="16"/>
                <w:shd w:fill="002451" w:val="clear"/>
                <w:rtl w:val="0"/>
              </w:rPr>
              <w:t xml:space="preserve">&gt;&lt;/iframe&gt;</w:t>
            </w:r>
            <w:r w:rsidDel="00000000" w:rsidR="00000000" w:rsidRPr="00000000">
              <w:rPr>
                <w:rtl w:val="0"/>
              </w:rPr>
            </w:r>
          </w:p>
        </w:tc>
      </w:tr>
    </w:tbl>
    <w:p w:rsidR="00000000" w:rsidDel="00000000" w:rsidP="00000000" w:rsidRDefault="00000000" w:rsidRPr="00000000" w14:paraId="0000000A">
      <w:pPr>
        <w:spacing w:after="200" w:lineRule="auto"/>
        <w:jc w:val="both"/>
        <w:rPr>
          <w:b w:val="1"/>
        </w:rPr>
      </w:pPr>
      <w:r w:rsidDel="00000000" w:rsidR="00000000" w:rsidRPr="00000000">
        <w:rPr>
          <w:rtl w:val="0"/>
        </w:rPr>
      </w:r>
    </w:p>
    <w:p w:rsidR="00000000" w:rsidDel="00000000" w:rsidP="00000000" w:rsidRDefault="00000000" w:rsidRPr="00000000" w14:paraId="0000000B">
      <w:pPr>
        <w:pStyle w:val="Heading2"/>
        <w:jc w:val="both"/>
        <w:rPr>
          <w:b w:val="1"/>
        </w:rPr>
      </w:pPr>
      <w:bookmarkStart w:colFirst="0" w:colLast="0" w:name="_10knfmc3v24e" w:id="1"/>
      <w:bookmarkEnd w:id="1"/>
      <w:r w:rsidDel="00000000" w:rsidR="00000000" w:rsidRPr="00000000">
        <w:rPr>
          <w:rtl w:val="0"/>
        </w:rPr>
        <w:t xml:space="preserve">Ciudad de México</w:t>
      </w:r>
      <w:r w:rsidDel="00000000" w:rsidR="00000000" w:rsidRPr="00000000">
        <w:rPr>
          <w:rtl w:val="0"/>
        </w:rPr>
      </w:r>
    </w:p>
    <w:p w:rsidR="00000000" w:rsidDel="00000000" w:rsidP="00000000" w:rsidRDefault="00000000" w:rsidRPr="00000000" w14:paraId="0000000C">
      <w:pPr>
        <w:spacing w:after="120" w:lineRule="auto"/>
        <w:jc w:val="both"/>
        <w:rPr/>
      </w:pPr>
      <w:r w:rsidDel="00000000" w:rsidR="00000000" w:rsidRPr="00000000">
        <w:rPr>
          <w:rtl w:val="0"/>
        </w:rPr>
        <w:t xml:space="preserve">La c</w:t>
      </w:r>
      <w:r w:rsidDel="00000000" w:rsidR="00000000" w:rsidRPr="00000000">
        <w:rPr>
          <w:rtl w:val="0"/>
        </w:rPr>
        <w:t xml:space="preserve">iudad </w:t>
      </w:r>
      <w:r w:rsidDel="00000000" w:rsidR="00000000" w:rsidRPr="00000000">
        <w:rPr>
          <w:rtl w:val="0"/>
        </w:rPr>
        <w:t xml:space="preserve">cerró a la baja el semestre,</w:t>
      </w:r>
      <w:r w:rsidDel="00000000" w:rsidR="00000000" w:rsidRPr="00000000">
        <w:rPr>
          <w:rtl w:val="0"/>
        </w:rPr>
        <w:t xml:space="preserve"> pasando de </w:t>
      </w:r>
      <w:r w:rsidDel="00000000" w:rsidR="00000000" w:rsidRPr="00000000">
        <w:rPr>
          <w:b w:val="1"/>
          <w:rtl w:val="0"/>
        </w:rPr>
        <w:t xml:space="preserve">$42,097.00 por m</w:t>
      </w:r>
      <w:r w:rsidDel="00000000" w:rsidR="00000000" w:rsidRPr="00000000">
        <w:rPr>
          <w:b w:val="1"/>
          <w:vertAlign w:val="superscript"/>
          <w:rtl w:val="0"/>
        </w:rPr>
        <w:t xml:space="preserve">2 </w:t>
      </w:r>
      <w:r w:rsidDel="00000000" w:rsidR="00000000" w:rsidRPr="00000000">
        <w:rPr>
          <w:b w:val="1"/>
          <w:rtl w:val="0"/>
        </w:rPr>
        <w:t xml:space="preserve">en enero a $40,532.00</w:t>
      </w:r>
      <w:r w:rsidDel="00000000" w:rsidR="00000000" w:rsidRPr="00000000">
        <w:rPr>
          <w:b w:val="1"/>
          <w:rtl w:val="0"/>
        </w:rPr>
        <w:t xml:space="preserve"> en junio (-3.86%</w:t>
      </w:r>
      <w:r w:rsidDel="00000000" w:rsidR="00000000" w:rsidRPr="00000000">
        <w:rPr>
          <w:rtl w:val="0"/>
        </w:rPr>
        <w:t xml:space="preserve">). </w:t>
      </w:r>
      <w:r w:rsidDel="00000000" w:rsidR="00000000" w:rsidRPr="00000000">
        <w:rPr>
          <w:rtl w:val="0"/>
        </w:rPr>
        <w:t xml:space="preserve">Por otro lado, la Ciudad de México cuenta con el precio promedio de venta más bajo comparado con el de Nuevo León y Jalisco. </w:t>
      </w:r>
    </w:p>
    <w:p w:rsidR="00000000" w:rsidDel="00000000" w:rsidP="00000000" w:rsidRDefault="00000000" w:rsidRPr="00000000" w14:paraId="0000000D">
      <w:pPr>
        <w:spacing w:after="120" w:lineRule="auto"/>
        <w:jc w:val="both"/>
        <w:rPr>
          <w:b w:val="1"/>
        </w:rPr>
      </w:pPr>
      <w:r w:rsidDel="00000000" w:rsidR="00000000" w:rsidRPr="00000000">
        <w:rPr>
          <w:rtl w:val="0"/>
        </w:rPr>
        <w:t xml:space="preserve">Además, durante el semestre se hicieron alrededor de 4 millones búsquedas de departamento</w:t>
      </w:r>
      <w:r w:rsidDel="00000000" w:rsidR="00000000" w:rsidRPr="00000000">
        <w:rPr>
          <w:rtl w:val="0"/>
        </w:rPr>
        <w:t xml:space="preserve"> en venta</w:t>
      </w:r>
      <w:r w:rsidDel="00000000" w:rsidR="00000000" w:rsidRPr="00000000">
        <w:rPr>
          <w:rtl w:val="0"/>
        </w:rPr>
        <w:t xml:space="preserve"> en CDMX, en Lamudi.com.mx. Las viviendas de este tipo tienen un área promedio de </w:t>
      </w:r>
      <w:r w:rsidDel="00000000" w:rsidR="00000000" w:rsidRPr="00000000">
        <w:rPr>
          <w:b w:val="1"/>
          <w:rtl w:val="0"/>
        </w:rPr>
        <w:t xml:space="preserve">104 m</w:t>
      </w:r>
      <w:r w:rsidDel="00000000" w:rsidR="00000000" w:rsidRPr="00000000">
        <w:rPr>
          <w:b w:val="1"/>
          <w:vertAlign w:val="superscript"/>
          <w:rtl w:val="0"/>
        </w:rPr>
        <w:t xml:space="preserve">2</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0E">
      <w:pPr>
        <w:pStyle w:val="Heading2"/>
        <w:jc w:val="both"/>
        <w:rPr/>
      </w:pPr>
      <w:bookmarkStart w:colFirst="0" w:colLast="0" w:name="_ylb5n0nbdm2u" w:id="2"/>
      <w:bookmarkEnd w:id="2"/>
      <w:r w:rsidDel="00000000" w:rsidR="00000000" w:rsidRPr="00000000">
        <w:rPr>
          <w:rtl w:val="0"/>
        </w:rPr>
        <w:t xml:space="preserve">Jalisco</w:t>
      </w:r>
    </w:p>
    <w:p w:rsidR="00000000" w:rsidDel="00000000" w:rsidP="00000000" w:rsidRDefault="00000000" w:rsidRPr="00000000" w14:paraId="0000000F">
      <w:pPr>
        <w:spacing w:after="120" w:lineRule="auto"/>
        <w:jc w:val="both"/>
        <w:rPr/>
      </w:pPr>
      <w:r w:rsidDel="00000000" w:rsidR="00000000" w:rsidRPr="00000000">
        <w:rPr>
          <w:rtl w:val="0"/>
        </w:rPr>
        <w:t xml:space="preserve">Por su parte, </w:t>
      </w:r>
      <w:r w:rsidDel="00000000" w:rsidR="00000000" w:rsidRPr="00000000">
        <w:rPr>
          <w:b w:val="1"/>
          <w:rtl w:val="0"/>
        </w:rPr>
        <w:t xml:space="preserve">Jalisco </w:t>
      </w:r>
      <w:r w:rsidDel="00000000" w:rsidR="00000000" w:rsidRPr="00000000">
        <w:rPr>
          <w:rtl w:val="0"/>
        </w:rPr>
        <w:t xml:space="preserve">finalizó el semestre con una ligera disminución en el precio promedio de venta: </w:t>
      </w:r>
      <w:r w:rsidDel="00000000" w:rsidR="00000000" w:rsidRPr="00000000">
        <w:rPr>
          <w:b w:val="1"/>
          <w:rtl w:val="0"/>
        </w:rPr>
        <w:t xml:space="preserve">-0.12%</w:t>
      </w:r>
      <w:r w:rsidDel="00000000" w:rsidR="00000000" w:rsidRPr="00000000">
        <w:rPr>
          <w:rtl w:val="0"/>
        </w:rPr>
        <w:t xml:space="preserve">, pasando de  </w:t>
      </w:r>
      <w:r w:rsidDel="00000000" w:rsidR="00000000" w:rsidRPr="00000000">
        <w:rPr>
          <w:b w:val="1"/>
          <w:rtl w:val="0"/>
        </w:rPr>
        <w:t xml:space="preserve">$45,066.00 (</w:t>
      </w:r>
      <w:r w:rsidDel="00000000" w:rsidR="00000000" w:rsidRPr="00000000">
        <w:rPr>
          <w:b w:val="1"/>
          <w:rtl w:val="0"/>
        </w:rPr>
        <w:t xml:space="preserve">m</w:t>
      </w:r>
      <w:r w:rsidDel="00000000" w:rsidR="00000000" w:rsidRPr="00000000">
        <w:rPr>
          <w:b w:val="1"/>
          <w:vertAlign w:val="superscript"/>
          <w:rtl w:val="0"/>
        </w:rPr>
        <w:t xml:space="preserve">2</w:t>
      </w:r>
      <w:r w:rsidDel="00000000" w:rsidR="00000000" w:rsidRPr="00000000">
        <w:rPr>
          <w:b w:val="1"/>
          <w:rtl w:val="0"/>
        </w:rPr>
        <w:t xml:space="preserve">) en enero a $45,012.00 (</w:t>
      </w:r>
      <w:r w:rsidDel="00000000" w:rsidR="00000000" w:rsidRPr="00000000">
        <w:rPr>
          <w:b w:val="1"/>
          <w:rtl w:val="0"/>
        </w:rPr>
        <w:t xml:space="preserve">m</w:t>
      </w:r>
      <w:r w:rsidDel="00000000" w:rsidR="00000000" w:rsidRPr="00000000">
        <w:rPr>
          <w:b w:val="1"/>
          <w:vertAlign w:val="superscript"/>
          <w:rtl w:val="0"/>
        </w:rPr>
        <w:t xml:space="preserve">2</w:t>
      </w:r>
      <w:r w:rsidDel="00000000" w:rsidR="00000000" w:rsidRPr="00000000">
        <w:rPr>
          <w:b w:val="1"/>
          <w:rtl w:val="0"/>
        </w:rPr>
        <w:t xml:space="preserve">) en junio </w:t>
      </w:r>
      <w:r w:rsidDel="00000000" w:rsidR="00000000" w:rsidRPr="00000000">
        <w:rPr>
          <w:b w:val="1"/>
          <w:rtl w:val="0"/>
        </w:rPr>
        <w:t xml:space="preserve">.</w:t>
      </w:r>
      <w:r w:rsidDel="00000000" w:rsidR="00000000" w:rsidRPr="00000000">
        <w:rPr>
          <w:rtl w:val="0"/>
        </w:rPr>
        <w:t xml:space="preserve"> </w:t>
      </w:r>
    </w:p>
    <w:p w:rsidR="00000000" w:rsidDel="00000000" w:rsidP="00000000" w:rsidRDefault="00000000" w:rsidRPr="00000000" w14:paraId="00000010">
      <w:pPr>
        <w:spacing w:after="120" w:lineRule="auto"/>
        <w:jc w:val="both"/>
        <w:rPr/>
      </w:pPr>
      <w:r w:rsidDel="00000000" w:rsidR="00000000" w:rsidRPr="00000000">
        <w:rPr>
          <w:rtl w:val="0"/>
        </w:rPr>
        <w:t xml:space="preserve">Más de 350,000 búsquedas</w:t>
      </w:r>
      <w:r w:rsidDel="00000000" w:rsidR="00000000" w:rsidRPr="00000000">
        <w:rPr>
          <w:rtl w:val="0"/>
        </w:rPr>
        <w:t xml:space="preserve"> </w:t>
      </w:r>
      <w:r w:rsidDel="00000000" w:rsidR="00000000" w:rsidRPr="00000000">
        <w:rPr>
          <w:rtl w:val="0"/>
        </w:rPr>
        <w:t xml:space="preserve">se registraron en los primeros seis meses en Jalisco. Considerando e</w:t>
      </w:r>
      <w:r w:rsidDel="00000000" w:rsidR="00000000" w:rsidRPr="00000000">
        <w:rPr>
          <w:rtl w:val="0"/>
        </w:rPr>
        <w:t xml:space="preserve">l</w:t>
      </w:r>
      <w:r w:rsidDel="00000000" w:rsidR="00000000" w:rsidRPr="00000000">
        <w:rPr>
          <w:rtl w:val="0"/>
        </w:rPr>
        <w:t xml:space="preserve"> área promedio de viviendas en cada una de las entidades, </w:t>
      </w:r>
      <w:r w:rsidDel="00000000" w:rsidR="00000000" w:rsidRPr="00000000">
        <w:rPr>
          <w:b w:val="1"/>
          <w:rtl w:val="0"/>
        </w:rPr>
        <w:t xml:space="preserve">Jalisco </w:t>
      </w:r>
      <w:r w:rsidDel="00000000" w:rsidR="00000000" w:rsidRPr="00000000">
        <w:rPr>
          <w:rtl w:val="0"/>
        </w:rPr>
        <w:t xml:space="preserve">es el estado más caro de los tres: un departamento de </w:t>
      </w:r>
      <w:r w:rsidDel="00000000" w:rsidR="00000000" w:rsidRPr="00000000">
        <w:rPr>
          <w:b w:val="1"/>
          <w:rtl w:val="0"/>
        </w:rPr>
        <w:t xml:space="preserve">109</w:t>
      </w:r>
      <w:r w:rsidDel="00000000" w:rsidR="00000000" w:rsidRPr="00000000">
        <w:rPr>
          <w:rtl w:val="0"/>
        </w:rPr>
        <w:t xml:space="preserve"> </w:t>
      </w:r>
      <w:r w:rsidDel="00000000" w:rsidR="00000000" w:rsidRPr="00000000">
        <w:rPr>
          <w:b w:val="1"/>
          <w:rtl w:val="0"/>
        </w:rPr>
        <w:t xml:space="preserve">m</w:t>
      </w:r>
      <w:r w:rsidDel="00000000" w:rsidR="00000000" w:rsidRPr="00000000">
        <w:rPr>
          <w:b w:val="1"/>
          <w:vertAlign w:val="superscript"/>
          <w:rtl w:val="0"/>
        </w:rPr>
        <w:t xml:space="preserve">2</w:t>
      </w:r>
      <w:r w:rsidDel="00000000" w:rsidR="00000000" w:rsidRPr="00000000">
        <w:rPr>
          <w:rtl w:val="0"/>
        </w:rPr>
        <w:t xml:space="preserve">, en promedio cuesta</w:t>
      </w:r>
      <w:r w:rsidDel="00000000" w:rsidR="00000000" w:rsidRPr="00000000">
        <w:rPr>
          <w:b w:val="1"/>
          <w:rtl w:val="0"/>
        </w:rPr>
        <w:t xml:space="preserve"> casi 5 millones de pesos. </w:t>
      </w:r>
      <w:r w:rsidDel="00000000" w:rsidR="00000000" w:rsidRPr="00000000">
        <w:rPr>
          <w:rtl w:val="0"/>
        </w:rPr>
      </w:r>
    </w:p>
    <w:p w:rsidR="00000000" w:rsidDel="00000000" w:rsidP="00000000" w:rsidRDefault="00000000" w:rsidRPr="00000000" w14:paraId="00000011">
      <w:pPr>
        <w:pStyle w:val="Heading2"/>
        <w:jc w:val="both"/>
        <w:rPr>
          <w:vertAlign w:val="superscript"/>
        </w:rPr>
      </w:pPr>
      <w:bookmarkStart w:colFirst="0" w:colLast="0" w:name="_75fdrn512hkx" w:id="3"/>
      <w:bookmarkEnd w:id="3"/>
      <w:r w:rsidDel="00000000" w:rsidR="00000000" w:rsidRPr="00000000">
        <w:rPr>
          <w:rtl w:val="0"/>
        </w:rPr>
        <w:t xml:space="preserve">Nuevo León</w:t>
      </w:r>
      <w:r w:rsidDel="00000000" w:rsidR="00000000" w:rsidRPr="00000000">
        <w:rPr>
          <w:rtl w:val="0"/>
        </w:rPr>
      </w:r>
    </w:p>
    <w:p w:rsidR="00000000" w:rsidDel="00000000" w:rsidP="00000000" w:rsidRDefault="00000000" w:rsidRPr="00000000" w14:paraId="00000012">
      <w:pPr>
        <w:spacing w:after="120" w:lineRule="auto"/>
        <w:jc w:val="both"/>
        <w:rPr>
          <w:b w:val="1"/>
        </w:rPr>
      </w:pPr>
      <w:r w:rsidDel="00000000" w:rsidR="00000000" w:rsidRPr="00000000">
        <w:rPr>
          <w:rtl w:val="0"/>
        </w:rPr>
        <w:t xml:space="preserve">En esta entidad </w:t>
      </w:r>
      <w:r w:rsidDel="00000000" w:rsidR="00000000" w:rsidRPr="00000000">
        <w:rPr>
          <w:rtl w:val="0"/>
        </w:rPr>
        <w:t xml:space="preserve">el precio promedio de venta aumentó. Al iniciar el semestre, el promedio de precio llegaba a </w:t>
      </w:r>
      <w:r w:rsidDel="00000000" w:rsidR="00000000" w:rsidRPr="00000000">
        <w:rPr>
          <w:b w:val="1"/>
          <w:rtl w:val="0"/>
        </w:rPr>
        <w:t xml:space="preserve">$45,008.00 por m</w:t>
      </w:r>
      <w:r w:rsidDel="00000000" w:rsidR="00000000" w:rsidRPr="00000000">
        <w:rPr>
          <w:b w:val="1"/>
          <w:vertAlign w:val="superscript"/>
          <w:rtl w:val="0"/>
        </w:rPr>
        <w:t xml:space="preserve">2</w:t>
      </w:r>
      <w:r w:rsidDel="00000000" w:rsidR="00000000" w:rsidRPr="00000000">
        <w:rPr>
          <w:b w:val="1"/>
          <w:rtl w:val="0"/>
        </w:rPr>
        <w:t xml:space="preserve"> y cerró en $46,574.00 por m</w:t>
      </w:r>
      <w:r w:rsidDel="00000000" w:rsidR="00000000" w:rsidRPr="00000000">
        <w:rPr>
          <w:b w:val="1"/>
          <w:vertAlign w:val="superscript"/>
          <w:rtl w:val="0"/>
        </w:rPr>
        <w:t xml:space="preserve">2</w:t>
      </w:r>
      <w:r w:rsidDel="00000000" w:rsidR="00000000" w:rsidRPr="00000000">
        <w:rPr>
          <w:b w:val="1"/>
          <w:rtl w:val="0"/>
        </w:rPr>
        <w:t xml:space="preserve"> en junio</w:t>
      </w:r>
      <w:r w:rsidDel="00000000" w:rsidR="00000000" w:rsidRPr="00000000">
        <w:rPr>
          <w:b w:val="1"/>
          <w:sz w:val="24"/>
          <w:szCs w:val="24"/>
          <w:rtl w:val="0"/>
        </w:rPr>
        <w:t xml:space="preserve"> </w:t>
      </w:r>
      <w:r w:rsidDel="00000000" w:rsidR="00000000" w:rsidRPr="00000000">
        <w:rPr>
          <w:b w:val="1"/>
          <w:rtl w:val="0"/>
        </w:rPr>
        <w:t xml:space="preserve">(+3.36%). </w:t>
      </w:r>
    </w:p>
    <w:p w:rsidR="00000000" w:rsidDel="00000000" w:rsidP="00000000" w:rsidRDefault="00000000" w:rsidRPr="00000000" w14:paraId="00000013">
      <w:pPr>
        <w:spacing w:after="120" w:lineRule="auto"/>
        <w:jc w:val="both"/>
        <w:rPr>
          <w:b w:val="1"/>
        </w:rPr>
      </w:pPr>
      <w:r w:rsidDel="00000000" w:rsidR="00000000" w:rsidRPr="00000000">
        <w:rPr>
          <w:rtl w:val="0"/>
        </w:rPr>
        <w:t xml:space="preserve">El área promedio de un departamento en Nuevo León es de </w:t>
      </w:r>
      <w:r w:rsidDel="00000000" w:rsidR="00000000" w:rsidRPr="00000000">
        <w:rPr>
          <w:b w:val="1"/>
          <w:rtl w:val="0"/>
        </w:rPr>
        <w:t xml:space="preserve">100 m</w:t>
      </w:r>
      <w:r w:rsidDel="00000000" w:rsidR="00000000" w:rsidRPr="00000000">
        <w:rPr>
          <w:b w:val="1"/>
          <w:vertAlign w:val="superscript"/>
          <w:rtl w:val="0"/>
        </w:rPr>
        <w:t xml:space="preserve">2</w:t>
      </w:r>
      <w:r w:rsidDel="00000000" w:rsidR="00000000" w:rsidRPr="00000000">
        <w:rPr>
          <w:rtl w:val="0"/>
        </w:rPr>
        <w:t xml:space="preserve">, por lo que se estima que su precio promedio ronda los </w:t>
      </w:r>
      <w:r w:rsidDel="00000000" w:rsidR="00000000" w:rsidRPr="00000000">
        <w:rPr>
          <w:b w:val="1"/>
          <w:rtl w:val="0"/>
        </w:rPr>
        <w:t xml:space="preserve">$4,657,400.00.</w:t>
      </w:r>
      <w:r w:rsidDel="00000000" w:rsidR="00000000" w:rsidRPr="00000000">
        <w:rPr>
          <w:rtl w:val="0"/>
        </w:rPr>
        <w:t xml:space="preserve"> Además, los anuncios disponibles en venta acumularon alrededor de 400,000 búsquedas en lo que va del semestre. </w:t>
      </w:r>
      <w:r w:rsidDel="00000000" w:rsidR="00000000" w:rsidRPr="00000000">
        <w:rPr>
          <w:rtl w:val="0"/>
        </w:rPr>
      </w:r>
    </w:p>
    <w:p w:rsidR="00000000" w:rsidDel="00000000" w:rsidP="00000000" w:rsidRDefault="00000000" w:rsidRPr="00000000" w14:paraId="00000014">
      <w:pPr>
        <w:pStyle w:val="Heading2"/>
        <w:jc w:val="both"/>
        <w:rPr/>
      </w:pPr>
      <w:bookmarkStart w:colFirst="0" w:colLast="0" w:name="_4un7a52x6ckg" w:id="4"/>
      <w:bookmarkEnd w:id="4"/>
      <w:r w:rsidDel="00000000" w:rsidR="00000000" w:rsidRPr="00000000">
        <w:rPr>
          <w:rtl w:val="0"/>
        </w:rPr>
        <w:t xml:space="preserve">¿A qué se deben estos cambios?</w:t>
      </w:r>
      <w:r w:rsidDel="00000000" w:rsidR="00000000" w:rsidRPr="00000000">
        <w:rPr>
          <w:rtl w:val="0"/>
        </w:rPr>
      </w:r>
    </w:p>
    <w:p w:rsidR="00000000" w:rsidDel="00000000" w:rsidP="00000000" w:rsidRDefault="00000000" w:rsidRPr="00000000" w14:paraId="00000015">
      <w:pPr>
        <w:spacing w:after="120" w:lineRule="auto"/>
        <w:jc w:val="both"/>
        <w:rPr/>
      </w:pPr>
      <w:r w:rsidDel="00000000" w:rsidR="00000000" w:rsidRPr="00000000">
        <w:rPr>
          <w:rtl w:val="0"/>
        </w:rPr>
        <w:t xml:space="preserve">El final de 2022 estableció varios retos económicos. Los efectos del fin del confinamiento (tras la pandemia), el ajuste a nuevas modalidades de trabajo, las crisis globales de transporte de mercancías e incluso los conflictos internacionales, crearon un ambiente financiero complejo en México. Los tres estados analizados son un ejemplo de cómo los mercados pueden reaccionar de forma diferente. </w:t>
      </w:r>
    </w:p>
    <w:p w:rsidR="00000000" w:rsidDel="00000000" w:rsidP="00000000" w:rsidRDefault="00000000" w:rsidRPr="00000000" w14:paraId="00000016">
      <w:pPr>
        <w:spacing w:after="120" w:lineRule="auto"/>
        <w:jc w:val="both"/>
        <w:rPr/>
      </w:pPr>
      <w:r w:rsidDel="00000000" w:rsidR="00000000" w:rsidRPr="00000000">
        <w:rPr>
          <w:rtl w:val="0"/>
        </w:rPr>
        <w:t xml:space="preserve">El incremento de precios en varios productos y servicios esenciales (incluida la renta) demandaron de ciertas medidas estatales y bancarias para cuidar la estabilidad a nivel macroeconómico. La reacción a la subida de precios generalizada consistió en aumentar las tasas de interés. ¿En qué ayuda? El objetivo es buscar que las personas guarden su dinero. Por lo tanto, los créditos hipotecarios se volvieron más caros. </w:t>
      </w:r>
    </w:p>
    <w:p w:rsidR="00000000" w:rsidDel="00000000" w:rsidP="00000000" w:rsidRDefault="00000000" w:rsidRPr="00000000" w14:paraId="00000017">
      <w:pPr>
        <w:spacing w:after="120" w:lineRule="auto"/>
        <w:jc w:val="both"/>
        <w:rPr/>
      </w:pPr>
      <w:r w:rsidDel="00000000" w:rsidR="00000000" w:rsidRPr="00000000">
        <w:rPr>
          <w:rtl w:val="0"/>
        </w:rPr>
        <w:t xml:space="preserve">De acuerdo con el </w:t>
      </w:r>
      <w:r w:rsidDel="00000000" w:rsidR="00000000" w:rsidRPr="00000000">
        <w:rPr>
          <w:rtl w:val="0"/>
        </w:rPr>
        <w:t xml:space="preserve">Sistema Nacional de Información e Indicadores de Vivienda</w:t>
      </w:r>
      <w:r w:rsidDel="00000000" w:rsidR="00000000" w:rsidRPr="00000000">
        <w:rPr>
          <w:rtl w:val="0"/>
        </w:rPr>
        <w:t xml:space="preserve">, tan sólo entre enero y abril de 2023 se otorgaron 139,992</w:t>
      </w:r>
      <w:r w:rsidDel="00000000" w:rsidR="00000000" w:rsidRPr="00000000">
        <w:rPr>
          <w:b w:val="1"/>
          <w:rtl w:val="0"/>
        </w:rPr>
        <w:t xml:space="preserve"> créditos hipotecarios,</w:t>
      </w:r>
      <w:r w:rsidDel="00000000" w:rsidR="00000000" w:rsidRPr="00000000">
        <w:rPr>
          <w:rtl w:val="0"/>
        </w:rPr>
        <w:t xml:space="preserve"> lo que representa una baja</w:t>
      </w:r>
      <w:r w:rsidDel="00000000" w:rsidR="00000000" w:rsidRPr="00000000">
        <w:rPr>
          <w:b w:val="1"/>
          <w:rtl w:val="0"/>
        </w:rPr>
        <w:t xml:space="preserve"> de 17.3%</w:t>
      </w:r>
      <w:r w:rsidDel="00000000" w:rsidR="00000000" w:rsidRPr="00000000">
        <w:rPr>
          <w:rtl w:val="0"/>
        </w:rPr>
        <w:t xml:space="preserve"> en comparación con el mismo periodo de 2022</w:t>
      </w:r>
      <w:r w:rsidDel="00000000" w:rsidR="00000000" w:rsidRPr="00000000">
        <w:rPr>
          <w:rtl w:val="0"/>
        </w:rPr>
        <w:t xml:space="preserve">, </w:t>
      </w:r>
      <w:r w:rsidDel="00000000" w:rsidR="00000000" w:rsidRPr="00000000">
        <w:rPr>
          <w:rtl w:val="0"/>
        </w:rPr>
        <w:t xml:space="preserve">cuando </w:t>
      </w:r>
      <w:r w:rsidDel="00000000" w:rsidR="00000000" w:rsidRPr="00000000">
        <w:rPr>
          <w:rtl w:val="0"/>
        </w:rPr>
        <w:t xml:space="preserve">se dieron 169,226 créditos.</w:t>
      </w:r>
      <w:r w:rsidDel="00000000" w:rsidR="00000000" w:rsidRPr="00000000">
        <w:rPr>
          <w:rtl w:val="0"/>
        </w:rPr>
      </w:r>
    </w:p>
    <w:p w:rsidR="00000000" w:rsidDel="00000000" w:rsidP="00000000" w:rsidRDefault="00000000" w:rsidRPr="00000000" w14:paraId="00000018">
      <w:pPr>
        <w:spacing w:after="120" w:lineRule="auto"/>
        <w:jc w:val="both"/>
        <w:rPr/>
      </w:pPr>
      <w:r w:rsidDel="00000000" w:rsidR="00000000" w:rsidRPr="00000000">
        <w:rPr>
          <w:rtl w:val="0"/>
        </w:rPr>
        <w:t xml:space="preserve">La disminución del costo para adquirir vivienda en Ciudad de México y Jalisco es una respuesta clara para atraer a la demanda, a pesar de que no se esperaba que las medidas para amortiguar la inflación tuvieran un efecto inmediato. El caso de Nuevo León, donde el precio subió un 3% entre enero y junio, refleja el contexto económico y las expectativas para el sector en este año. Una de las cuales es el </w:t>
      </w:r>
      <w:r w:rsidDel="00000000" w:rsidR="00000000" w:rsidRPr="00000000">
        <w:rPr>
          <w:i w:val="1"/>
          <w:rtl w:val="0"/>
        </w:rPr>
        <w:t xml:space="preserve">efecto nearshoring</w:t>
      </w:r>
      <w:r w:rsidDel="00000000" w:rsidR="00000000" w:rsidRPr="00000000">
        <w:rPr>
          <w:rtl w:val="0"/>
        </w:rPr>
        <w:t xml:space="preserve">: la llegada de más de 100 empresas y con ello, el interés latente por bienes raíces lleva a un crecimiento en el nivel de plusvalía</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9">
      <w:pPr>
        <w:spacing w:after="120" w:lineRule="auto"/>
        <w:jc w:val="both"/>
        <w:rPr>
          <w:sz w:val="20"/>
          <w:szCs w:val="20"/>
        </w:rPr>
      </w:pPr>
      <w:r w:rsidDel="00000000" w:rsidR="00000000" w:rsidRPr="00000000">
        <w:rPr>
          <w:rtl w:val="0"/>
        </w:rPr>
        <w:t xml:space="preserve">A</w:t>
      </w:r>
      <w:r w:rsidDel="00000000" w:rsidR="00000000" w:rsidRPr="00000000">
        <w:rPr>
          <w:rtl w:val="0"/>
        </w:rPr>
        <w:t xml:space="preserve">ctualmente hay más de 60,000 departamentos en venta entre los tres estados. </w:t>
      </w:r>
      <w:r w:rsidDel="00000000" w:rsidR="00000000" w:rsidRPr="00000000">
        <w:rPr>
          <w:rtl w:val="0"/>
        </w:rPr>
        <w:t xml:space="preserve">Esto nos indica una variada </w:t>
      </w:r>
      <w:r w:rsidDel="00000000" w:rsidR="00000000" w:rsidRPr="00000000">
        <w:rPr>
          <w:rtl w:val="0"/>
        </w:rPr>
        <w:t xml:space="preserve">oferta de inmuebles disponibles para comprar, por lo que la baja en los precios podría representar una oportunidad de inversión en los próximos meses.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A">
      <w:pPr>
        <w:spacing w:after="80" w:before="0" w:line="276" w:lineRule="auto"/>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Metodología:</w:t>
      </w:r>
    </w:p>
    <w:p w:rsidR="00000000" w:rsidDel="00000000" w:rsidP="00000000" w:rsidRDefault="00000000" w:rsidRPr="00000000" w14:paraId="0000001B">
      <w:pPr>
        <w:numPr>
          <w:ilvl w:val="0"/>
          <w:numId w:val="1"/>
        </w:numPr>
        <w:spacing w:after="80" w:before="0" w:line="276" w:lineRule="auto"/>
        <w:ind w:left="720" w:hanging="360"/>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Para calcular el precio promedio de venta por m</w:t>
      </w:r>
      <w:r w:rsidDel="00000000" w:rsidR="00000000" w:rsidRPr="00000000">
        <w:rPr>
          <w:rFonts w:ascii="Montserrat Light" w:cs="Montserrat Light" w:eastAsia="Montserrat Light" w:hAnsi="Montserrat Light"/>
          <w:sz w:val="20"/>
          <w:szCs w:val="20"/>
          <w:vertAlign w:val="superscript"/>
          <w:rtl w:val="0"/>
        </w:rPr>
        <w:t xml:space="preserve">2</w:t>
      </w:r>
      <w:r w:rsidDel="00000000" w:rsidR="00000000" w:rsidRPr="00000000">
        <w:rPr>
          <w:rFonts w:ascii="Montserrat Light" w:cs="Montserrat Light" w:eastAsia="Montserrat Light" w:hAnsi="Montserrat Light"/>
          <w:sz w:val="20"/>
          <w:szCs w:val="20"/>
          <w:rtl w:val="0"/>
        </w:rPr>
        <w:t xml:space="preserve">, usamos la base de datos de departamentos de 2 a 3 habitaciones en Ciudad de México, Nuevo León y Jalisco. </w:t>
      </w:r>
    </w:p>
    <w:p w:rsidR="00000000" w:rsidDel="00000000" w:rsidP="00000000" w:rsidRDefault="00000000" w:rsidRPr="00000000" w14:paraId="0000001C">
      <w:pPr>
        <w:numPr>
          <w:ilvl w:val="0"/>
          <w:numId w:val="1"/>
        </w:numPr>
        <w:spacing w:after="80" w:before="0" w:line="276" w:lineRule="auto"/>
        <w:ind w:left="720" w:hanging="360"/>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Cantidad de propiedades en venta disponibles es un cálculo aproximado de los diferentes portales de Lifull Connect en México. </w:t>
      </w:r>
    </w:p>
    <w:p w:rsidR="00000000" w:rsidDel="00000000" w:rsidP="00000000" w:rsidRDefault="00000000" w:rsidRPr="00000000" w14:paraId="0000001D">
      <w:pPr>
        <w:numPr>
          <w:ilvl w:val="0"/>
          <w:numId w:val="1"/>
        </w:numPr>
        <w:spacing w:after="80" w:before="0" w:line="276" w:lineRule="auto"/>
        <w:ind w:left="720" w:hanging="360"/>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La variación en las búsquedas fue un análisis realizado a partir de la base de datos de Lamudi.com.mx, de enero a junio de 2023.  </w:t>
      </w:r>
    </w:p>
    <w:p w:rsidR="00000000" w:rsidDel="00000000" w:rsidP="00000000" w:rsidRDefault="00000000" w:rsidRPr="00000000" w14:paraId="0000001E">
      <w:pPr>
        <w:numPr>
          <w:ilvl w:val="0"/>
          <w:numId w:val="1"/>
        </w:numPr>
        <w:spacing w:after="80" w:before="0" w:line="276" w:lineRule="auto"/>
        <w:ind w:left="720" w:hanging="360"/>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Tomamos el total mensual de créditos hipotecarios otorgados en enero a junio de 2023 de la base de datos del SNIIV: </w:t>
      </w:r>
      <w:hyperlink r:id="rId10">
        <w:r w:rsidDel="00000000" w:rsidR="00000000" w:rsidRPr="00000000">
          <w:rPr>
            <w:rFonts w:ascii="Montserrat Light" w:cs="Montserrat Light" w:eastAsia="Montserrat Light" w:hAnsi="Montserrat Light"/>
            <w:color w:val="1155cc"/>
            <w:sz w:val="20"/>
            <w:szCs w:val="20"/>
            <w:u w:val="single"/>
            <w:rtl w:val="0"/>
          </w:rPr>
          <w:t xml:space="preserve">https://sniiv.sedatu.gob.mx/Cubo/Financiamiento#</w:t>
        </w:r>
      </w:hyperlink>
      <w:r w:rsidDel="00000000" w:rsidR="00000000" w:rsidRPr="00000000">
        <w:rPr>
          <w:rFonts w:ascii="Montserrat Light" w:cs="Montserrat Light" w:eastAsia="Montserrat Light" w:hAnsi="Montserrat Light"/>
          <w:color w:val="1f1f1f"/>
          <w:sz w:val="20"/>
          <w:szCs w:val="20"/>
          <w:rtl w:val="0"/>
        </w:rPr>
        <w:t xml:space="preserve"> </w:t>
      </w:r>
    </w:p>
    <w:p w:rsidR="00000000" w:rsidDel="00000000" w:rsidP="00000000" w:rsidRDefault="00000000" w:rsidRPr="00000000" w14:paraId="0000001F">
      <w:pPr>
        <w:numPr>
          <w:ilvl w:val="0"/>
          <w:numId w:val="1"/>
        </w:numPr>
        <w:spacing w:after="80" w:before="0" w:line="276" w:lineRule="auto"/>
        <w:ind w:left="720" w:hanging="360"/>
        <w:jc w:val="both"/>
        <w:rPr>
          <w:rFonts w:ascii="Montserrat Light" w:cs="Montserrat Light" w:eastAsia="Montserrat Light" w:hAnsi="Montserrat Light"/>
          <w:color w:val="1f1f1f"/>
          <w:sz w:val="20"/>
          <w:szCs w:val="20"/>
        </w:rPr>
      </w:pPr>
      <w:r w:rsidDel="00000000" w:rsidR="00000000" w:rsidRPr="00000000">
        <w:rPr>
          <w:rFonts w:ascii="Montserrat Light" w:cs="Montserrat Light" w:eastAsia="Montserrat Light" w:hAnsi="Montserrat Light"/>
          <w:color w:val="1f1f1f"/>
          <w:sz w:val="20"/>
          <w:szCs w:val="20"/>
          <w:rtl w:val="0"/>
        </w:rPr>
        <w:t xml:space="preserve">Datos de inflación y tasa de interés hipotecaria fueron obtenidos de los portales correspondientes de Banxico.</w:t>
      </w:r>
    </w:p>
    <w:p w:rsidR="00000000" w:rsidDel="00000000" w:rsidP="00000000" w:rsidRDefault="00000000" w:rsidRPr="00000000" w14:paraId="00000020">
      <w:pPr>
        <w:spacing w:after="0" w:lineRule="auto"/>
        <w:rPr>
          <w:rFonts w:ascii="Montserrat" w:cs="Montserrat" w:eastAsia="Montserrat" w:hAnsi="Montserrat"/>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spacing w:after="80" w:line="276" w:lineRule="auto"/>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Sobre Lamudi y LIFULL Connect</w:t>
      </w:r>
    </w:p>
    <w:p w:rsidR="00000000" w:rsidDel="00000000" w:rsidP="00000000" w:rsidRDefault="00000000" w:rsidRPr="00000000" w14:paraId="00000022">
      <w:pPr>
        <w:spacing w:after="80" w:line="276" w:lineRule="auto"/>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18"/>
          <w:szCs w:val="18"/>
          <w:rtl w:val="0"/>
        </w:rPr>
        <w:t xml:space="preserve">Lamudi México es la plataforma en línea líder en bienes raíces que conecta a quienes buscan propiedades con profesionales del sector. Lanzado en 2013, Lamudi se convirtió rápidamente en un destino digital para quienes buscan comprar, alquilar o vender propiedades en todo el país. La interfaz fácil de usar y las características intuitivas de Lamudi México facilitan que cualquier persona encuentre la propiedad de sus sueños. En 2023 pasó a formar parte de Lifull Connect, el grupo líder en plataformas de venta y agregadores digitales propiedad de LIFULL. Atiende a más de 180 millones de usuarios mensualmente, con más de 250 sitios en 63 países. </w:t>
      </w:r>
      <w:r w:rsidDel="00000000" w:rsidR="00000000" w:rsidRPr="00000000">
        <w:rPr>
          <w:rtl w:val="0"/>
        </w:rPr>
      </w:r>
    </w:p>
    <w:tbl>
      <w:tblPr>
        <w:tblStyle w:val="Table2"/>
        <w:tblW w:w="7980.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35"/>
        <w:gridCol w:w="3345"/>
        <w:tblGridChange w:id="0">
          <w:tblGrid>
            <w:gridCol w:w="4635"/>
            <w:gridCol w:w="3345"/>
          </w:tblGrid>
        </w:tblGridChange>
      </w:tblGrid>
      <w:tr>
        <w:trPr>
          <w:cantSplit w:val="0"/>
          <w:trHeight w:val="1111.5017187499998" w:hRule="atLeast"/>
          <w:tblHeader w:val="0"/>
        </w:trPr>
        <w:tc>
          <w:tcPr>
            <w:tcBorders>
              <w:right w:color="000000" w:space="0" w:sz="4" w:val="single"/>
            </w:tcBorders>
          </w:tcPr>
          <w:p w:rsidR="00000000" w:rsidDel="00000000" w:rsidP="00000000" w:rsidRDefault="00000000" w:rsidRPr="00000000" w14:paraId="00000023">
            <w:pPr>
              <w:spacing w:line="276" w:lineRule="auto"/>
              <w:jc w:val="right"/>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Contacto de prensa</w:t>
            </w:r>
            <w:r w:rsidDel="00000000" w:rsidR="00000000" w:rsidRPr="00000000">
              <w:drawing>
                <wp:anchor allowOverlap="1" behindDoc="0" distB="114300" distT="114300" distL="114300" distR="114300" hidden="0" layoutInCell="1" locked="0" relativeHeight="0" simplePos="0">
                  <wp:simplePos x="0" y="0"/>
                  <wp:positionH relativeFrom="column">
                    <wp:posOffset>1943100</wp:posOffset>
                  </wp:positionH>
                  <wp:positionV relativeFrom="paragraph">
                    <wp:posOffset>161925</wp:posOffset>
                  </wp:positionV>
                  <wp:extent cx="853174" cy="293075"/>
                  <wp:effectExtent b="0" l="0" r="0" t="0"/>
                  <wp:wrapNone/>
                  <wp:docPr id="3" name="image5.png"/>
                  <a:graphic>
                    <a:graphicData uri="http://schemas.openxmlformats.org/drawingml/2006/picture">
                      <pic:pic>
                        <pic:nvPicPr>
                          <pic:cNvPr id="0" name="image5.png"/>
                          <pic:cNvPicPr preferRelativeResize="0"/>
                        </pic:nvPicPr>
                        <pic:blipFill>
                          <a:blip r:embed="rId11"/>
                          <a:srcRect b="17484" l="16000" r="16800" t="23202"/>
                          <a:stretch>
                            <a:fillRect/>
                          </a:stretch>
                        </pic:blipFill>
                        <pic:spPr>
                          <a:xfrm>
                            <a:off x="0" y="0"/>
                            <a:ext cx="853174" cy="293075"/>
                          </a:xfrm>
                          <a:prstGeom prst="rect"/>
                          <a:ln/>
                        </pic:spPr>
                      </pic:pic>
                    </a:graphicData>
                  </a:graphic>
                </wp:anchor>
              </w:drawing>
            </w:r>
          </w:p>
          <w:p w:rsidR="00000000" w:rsidDel="00000000" w:rsidP="00000000" w:rsidRDefault="00000000" w:rsidRPr="00000000" w14:paraId="00000024">
            <w:pPr>
              <w:spacing w:line="276" w:lineRule="auto"/>
              <w:jc w:val="left"/>
              <w:rPr>
                <w:rFonts w:ascii="Calibri" w:cs="Calibri" w:eastAsia="Calibri" w:hAnsi="Calibri"/>
                <w:b w:val="1"/>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025">
            <w:pPr>
              <w:spacing w:after="0" w:line="240" w:lineRule="auto"/>
              <w:jc w:val="both"/>
              <w:rPr>
                <w:b w:val="1"/>
                <w:sz w:val="20"/>
                <w:szCs w:val="20"/>
              </w:rPr>
            </w:pPr>
            <w:r w:rsidDel="00000000" w:rsidR="00000000" w:rsidRPr="00000000">
              <w:rPr>
                <w:rFonts w:ascii="Montserrat" w:cs="Montserrat" w:eastAsia="Montserrat" w:hAnsi="Montserrat"/>
                <w:b w:val="1"/>
                <w:sz w:val="20"/>
                <w:szCs w:val="20"/>
                <w:rtl w:val="0"/>
              </w:rPr>
              <w:t xml:space="preserve">Giselle Martínez</w:t>
            </w:r>
            <w:r w:rsidDel="00000000" w:rsidR="00000000" w:rsidRPr="00000000">
              <w:rPr>
                <w:rtl w:val="0"/>
              </w:rPr>
            </w:r>
          </w:p>
          <w:p w:rsidR="00000000" w:rsidDel="00000000" w:rsidP="00000000" w:rsidRDefault="00000000" w:rsidRPr="00000000" w14:paraId="00000026">
            <w:pPr>
              <w:spacing w:after="0"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Data Journalist </w:t>
            </w:r>
          </w:p>
          <w:p w:rsidR="00000000" w:rsidDel="00000000" w:rsidP="00000000" w:rsidRDefault="00000000" w:rsidRPr="00000000" w14:paraId="00000027">
            <w:pPr>
              <w:spacing w:after="0"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prensa@lifullconnect.com</w:t>
            </w:r>
          </w:p>
          <w:p w:rsidR="00000000" w:rsidDel="00000000" w:rsidP="00000000" w:rsidRDefault="00000000" w:rsidRPr="00000000" w14:paraId="00000028">
            <w:pPr>
              <w:spacing w:after="0"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+52 5611789382</w:t>
            </w:r>
          </w:p>
        </w:tc>
      </w:tr>
    </w:tbl>
    <w:p w:rsidR="00000000" w:rsidDel="00000000" w:rsidP="00000000" w:rsidRDefault="00000000" w:rsidRPr="00000000" w14:paraId="00000029">
      <w:pPr>
        <w:pStyle w:val="Heading2"/>
        <w:jc w:val="both"/>
        <w:rPr/>
      </w:pPr>
      <w:bookmarkStart w:colFirst="0" w:colLast="0" w:name="_178ycn6p6spt" w:id="5"/>
      <w:bookmarkEnd w:id="5"/>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1440" w:top="1440" w:left="1440" w:right="1440" w:header="576"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nsolas"/>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ontserrat ExtraBold">
    <w:embedBold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rFonts w:ascii="Montserrat Light" w:cs="Montserrat Light" w:eastAsia="Montserrat Light" w:hAnsi="Montserrat Light"/>
      </w:rPr>
    </w:pPr>
    <w:r w:rsidDel="00000000" w:rsidR="00000000" w:rsidRPr="00000000">
      <w:rPr>
        <w:rFonts w:ascii="Montserrat Light" w:cs="Montserrat Light" w:eastAsia="Montserrat Light" w:hAnsi="Montserrat Light"/>
        <w:sz w:val="20"/>
        <w:szCs w:val="20"/>
        <w:rtl w:val="0"/>
      </w:rPr>
      <w:t xml:space="preserve">Para más información, escribe a </w:t>
    </w:r>
    <w:hyperlink r:id="rId1">
      <w:r w:rsidDel="00000000" w:rsidR="00000000" w:rsidRPr="00000000">
        <w:rPr>
          <w:rFonts w:ascii="Montserrat Light" w:cs="Montserrat Light" w:eastAsia="Montserrat Light" w:hAnsi="Montserrat Light"/>
          <w:color w:val="1155cc"/>
          <w:sz w:val="20"/>
          <w:szCs w:val="20"/>
          <w:u w:val="single"/>
          <w:rtl w:val="0"/>
        </w:rPr>
        <w:t xml:space="preserve">prensa@lifullconnect.com</w:t>
      </w:r>
    </w:hyperlink>
    <w:r w:rsidDel="00000000" w:rsidR="00000000" w:rsidRPr="00000000">
      <w:rPr>
        <w:rtl w:val="0"/>
      </w:rPr>
      <w:tab/>
      <w:tab/>
      <w:tab/>
      <w:tab/>
    </w:r>
    <w:r w:rsidDel="00000000" w:rsidR="00000000" w:rsidRPr="00000000">
      <w:rPr>
        <w:rFonts w:ascii="Montserrat Light" w:cs="Montserrat Light" w:eastAsia="Montserrat Light" w:hAnsi="Montserrat Light"/>
      </w:rPr>
      <w:fldChar w:fldCharType="begin"/>
      <w:instrText xml:space="preserve">PAGE</w:instrText>
      <w:fldChar w:fldCharType="separate"/>
      <w:fldChar w:fldCharType="end"/>
    </w:r>
    <w:r w:rsidDel="00000000" w:rsidR="00000000" w:rsidRPr="00000000">
      <w:rPr>
        <w:rFonts w:ascii="Montserrat Light" w:cs="Montserrat Light" w:eastAsia="Montserrat Light" w:hAnsi="Montserrat Light"/>
        <w:rtl w:val="0"/>
      </w:rPr>
      <w:t xml:space="preserve"> de 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pict>
        <v:shape id="WordPictureWatermark1" style="position:absolute;width:468.0pt;height:178.61105318039623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ind w:right="-720"/>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4743450</wp:posOffset>
          </wp:positionH>
          <wp:positionV relativeFrom="paragraph">
            <wp:posOffset>-85724</wp:posOffset>
          </wp:positionV>
          <wp:extent cx="1388540" cy="532448"/>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88540" cy="532448"/>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Montserrat ExtraBold" w:cs="Montserrat ExtraBold" w:eastAsia="Montserrat ExtraBold" w:hAnsi="Montserrat ExtraBold"/>
      <w:color w:val="313037"/>
      <w:sz w:val="44"/>
      <w:szCs w:val="44"/>
    </w:rPr>
  </w:style>
  <w:style w:type="paragraph" w:styleId="Heading2">
    <w:name w:val="heading 2"/>
    <w:basedOn w:val="Normal"/>
    <w:next w:val="Normal"/>
    <w:pPr>
      <w:keepNext w:val="1"/>
      <w:keepLines w:val="1"/>
      <w:spacing w:after="120" w:before="200" w:lineRule="auto"/>
    </w:pPr>
    <w:rPr>
      <w:rFonts w:ascii="Montserrat ExtraBold" w:cs="Montserrat ExtraBold" w:eastAsia="Montserrat ExtraBold" w:hAnsi="Montserrat ExtraBold"/>
      <w:color w:val="313037"/>
      <w:sz w:val="28"/>
      <w:szCs w:val="28"/>
    </w:rPr>
  </w:style>
  <w:style w:type="paragraph" w:styleId="Heading3">
    <w:name w:val="heading 3"/>
    <w:basedOn w:val="Normal"/>
    <w:next w:val="Normal"/>
    <w:pPr>
      <w:keepNext w:val="1"/>
      <w:keepLines w:val="1"/>
      <w:spacing w:after="80" w:before="200" w:lineRule="auto"/>
    </w:pPr>
    <w:rPr>
      <w:rFonts w:ascii="Montserrat ExtraBold" w:cs="Montserrat ExtraBold" w:eastAsia="Montserrat ExtraBold" w:hAnsi="Montserrat ExtraBold"/>
      <w:color w:val="313037"/>
      <w:sz w:val="24"/>
      <w:szCs w:val="24"/>
    </w:rPr>
  </w:style>
  <w:style w:type="paragraph" w:styleId="Heading4">
    <w:name w:val="heading 4"/>
    <w:basedOn w:val="Normal"/>
    <w:next w:val="Normal"/>
    <w:pPr>
      <w:keepNext w:val="1"/>
      <w:keepLines w:val="1"/>
      <w:spacing w:after="80" w:before="200" w:lineRule="auto"/>
    </w:pPr>
    <w:rPr>
      <w:rFonts w:ascii="Montserrat ExtraBold" w:cs="Montserrat ExtraBold" w:eastAsia="Montserrat ExtraBold" w:hAnsi="Montserrat ExtraBold"/>
      <w:color w:val="00bddb"/>
      <w:sz w:val="24"/>
      <w:szCs w:val="24"/>
    </w:rPr>
  </w:style>
  <w:style w:type="paragraph" w:styleId="Heading5">
    <w:name w:val="heading 5"/>
    <w:basedOn w:val="Normal"/>
    <w:next w:val="Normal"/>
    <w:pPr>
      <w:keepNext w:val="1"/>
      <w:keepLines w:val="1"/>
      <w:spacing w:after="80" w:before="200" w:lineRule="auto"/>
    </w:pPr>
    <w:rPr>
      <w:rFonts w:ascii="Montserrat ExtraBold" w:cs="Montserrat ExtraBold" w:eastAsia="Montserrat ExtraBold" w:hAnsi="Montserrat ExtraBold"/>
      <w:color w:val="ee4252"/>
      <w:sz w:val="24"/>
      <w:szCs w:val="24"/>
    </w:rPr>
  </w:style>
  <w:style w:type="paragraph" w:styleId="Heading6">
    <w:name w:val="heading 6"/>
    <w:basedOn w:val="Normal"/>
    <w:next w:val="Normal"/>
    <w:pPr>
      <w:keepNext w:val="1"/>
      <w:keepLines w:val="1"/>
      <w:spacing w:after="80" w:before="200" w:lineRule="auto"/>
    </w:pPr>
    <w:rPr>
      <w:rFonts w:ascii="Montserrat ExtraBold" w:cs="Montserrat ExtraBold" w:eastAsia="Montserrat ExtraBold" w:hAnsi="Montserrat ExtraBold"/>
      <w:color w:val="ed6103"/>
      <w:sz w:val="24"/>
      <w:szCs w:val="24"/>
    </w:rPr>
  </w:style>
  <w:style w:type="paragraph" w:styleId="Title">
    <w:name w:val="Title"/>
    <w:basedOn w:val="Normal"/>
    <w:next w:val="Normal"/>
    <w:pPr>
      <w:keepNext w:val="1"/>
      <w:keepLines w:val="1"/>
      <w:spacing w:after="60" w:lineRule="auto"/>
      <w:jc w:val="center"/>
    </w:pPr>
    <w:rPr>
      <w:b w:val="1"/>
      <w:sz w:val="44"/>
      <w:szCs w:val="44"/>
    </w:rPr>
  </w:style>
  <w:style w:type="paragraph" w:styleId="Subtitle">
    <w:name w:val="Subtitle"/>
    <w:basedOn w:val="Normal"/>
    <w:next w:val="Normal"/>
    <w:pPr>
      <w:keepNext w:val="1"/>
      <w:keepLines w:val="1"/>
      <w:spacing w:after="320" w:lineRule="auto"/>
    </w:pPr>
    <w:rPr>
      <w:rFonts w:ascii="Arial" w:cs="Arial" w:eastAsia="Arial" w:hAnsi="Arial"/>
      <w:color w:val="2e374f"/>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hyperlink" Target="https://sniiv.sedatu.gob.mx/Cubo/Financiamiento#" TargetMode="External"/><Relationship Id="rId13" Type="http://schemas.openxmlformats.org/officeDocument/2006/relationships/header" Target="head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it.ly/lamudi-precios-venta-cdmx-jalisco-nuevo-leon-2023" TargetMode="External"/><Relationship Id="rId15" Type="http://schemas.openxmlformats.org/officeDocument/2006/relationships/footer" Target="footer3.xml"/><Relationship Id="rId14" Type="http://schemas.openxmlformats.org/officeDocument/2006/relationships/header" Target="header1.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lamudi.com.mx/" TargetMode="External"/><Relationship Id="rId7" Type="http://schemas.openxmlformats.org/officeDocument/2006/relationships/hyperlink" Target="https://www.inegi.org.mx/app/saladeprensa/noticia.html?id=8271#:~:text=En%20la%20primera%20quincena%20de,ubic%C3%B3%20en%205.18%20por%20ciento." TargetMode="External"/><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10" Type="http://schemas.openxmlformats.org/officeDocument/2006/relationships/font" Target="fonts/MontserratExtraBold-boldItalic.ttf"/><Relationship Id="rId9" Type="http://schemas.openxmlformats.org/officeDocument/2006/relationships/font" Target="fonts/MontserratExtraBold-bold.ttf"/><Relationship Id="rId5" Type="http://schemas.openxmlformats.org/officeDocument/2006/relationships/font" Target="fonts/MontserratLight-regular.ttf"/><Relationship Id="rId6" Type="http://schemas.openxmlformats.org/officeDocument/2006/relationships/font" Target="fonts/MontserratLight-bold.ttf"/><Relationship Id="rId7" Type="http://schemas.openxmlformats.org/officeDocument/2006/relationships/font" Target="fonts/MontserratLight-italic.ttf"/><Relationship Id="rId8" Type="http://schemas.openxmlformats.org/officeDocument/2006/relationships/font" Target="fonts/MontserratLight-boldItalic.ttf"/></Relationships>
</file>

<file path=word/_rels/footer3.xml.rels><?xml version="1.0" encoding="UTF-8" standalone="yes"?><Relationships xmlns="http://schemas.openxmlformats.org/package/2006/relationships"><Relationship Id="rId1" Type="http://schemas.openxmlformats.org/officeDocument/2006/relationships/hyperlink" Target="mailto:prensa@lifullconn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