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left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Rentar en las zonas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40"/>
          <w:szCs w:val="40"/>
          <w:rtl w:val="0"/>
        </w:rPr>
        <w:t xml:space="preserve">aesthetic </w:t>
      </w: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de la CDMX también puede ser más costoso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● 23 de junio de 2023. Ciudad de México.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palabra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aesthetic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se ha tomado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las redes sociales, con 118 millones de menciones en Instagram y 245 billones de visualizaciones en TikTok. La traducción de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Aesthetic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al español es estética o estético según el diccionario de la Real Academía Española, significa que “pertenece o  es relativo a la percepción o apreciación de la belleza.”</w:t>
      </w:r>
    </w:p>
    <w:p w:rsidR="00000000" w:rsidDel="00000000" w:rsidP="00000000" w:rsidRDefault="00000000" w:rsidRPr="00000000" w14:paraId="00000004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término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aesthetic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puede usarse en distintos ámbitos y engloba diversos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estilos de vida.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Lamudi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portal inmobiliario líder en México, buscó las alcaldías de la Ciudad de México más estéticas de acuerdo a varios elementos representados en múltiples bases de datos. Debido a la diversidad de criterios sobre qué es estético y qué no, la plataforma definió en torno a los datos disponibles que tengan relación directa con la oportunidad de tener lugares aesthetic: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120" w:before="0" w:line="276" w:lineRule="auto"/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Áreas de conservación patrimonial: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inmuebles o espacios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 valor histórico, artístico y/o cultural.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120" w:before="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Barrido de calles: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cantidad de personal contratado para mantener limpias las calles en cada alcaldía.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120" w:before="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Bicicleta y estaciones: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Uso de bicicleta, el acceso a ciclovías (mientras más bicicletas, menos transporte público y privado masivo).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20" w:before="0" w:line="276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Lugares que reflejan nuestra cultura: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museos, parques, restaurantes, bares, cafeterías y/o lugares similares. </w:t>
      </w:r>
    </w:p>
    <w:p w:rsidR="00000000" w:rsidDel="00000000" w:rsidP="00000000" w:rsidRDefault="00000000" w:rsidRPr="00000000" w14:paraId="00000009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la siguiente gráfica se ilustra el ranking de zonas aesthetic realizado por el portal Lamudi y el precio promedio de renta que tiene cada una: </w:t>
      </w:r>
    </w:p>
    <w:p w:rsidR="00000000" w:rsidDel="00000000" w:rsidP="00000000" w:rsidRDefault="00000000" w:rsidRPr="00000000" w14:paraId="0000000A">
      <w:pPr>
        <w:spacing w:after="120" w:before="0" w:line="276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3643313" cy="262155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262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76" w:lineRule="auto"/>
        <w:jc w:val="center"/>
        <w:rPr>
          <w:rFonts w:ascii="Montserrat" w:cs="Montserrat" w:eastAsia="Montserrat" w:hAnsi="Montserrat"/>
        </w:rPr>
      </w:pPr>
      <w:hyperlink r:id="rId8">
        <w:r w:rsidDel="00000000" w:rsidR="00000000" w:rsidRPr="00000000">
          <w:rPr>
            <w:rFonts w:ascii="Consolas" w:cs="Consolas" w:eastAsia="Consolas" w:hAnsi="Consolas"/>
            <w:color w:val="1155cc"/>
            <w:sz w:val="24"/>
            <w:szCs w:val="24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76" w:lineRule="auto"/>
        <w:rPr>
          <w:rFonts w:ascii="Consolas" w:cs="Consolas" w:eastAsia="Consolas" w:hAnsi="Consolas"/>
          <w:color w:val="6aa84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6aa84f"/>
          <w:sz w:val="24"/>
          <w:szCs w:val="24"/>
          <w:rtl w:val="0"/>
        </w:rPr>
        <w:t xml:space="preserve">Inserta el gráfico en nota web [EMBED CODE]</w:t>
      </w:r>
    </w:p>
    <w:tbl>
      <w:tblPr>
        <w:tblStyle w:val="Table1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"https://bit.ly/renta-ranking-alcaldías-aesthetic-cdmx-lamudi"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"La renta de las alcaldías más aesthetic de CDMX"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"width:100%;height:550px;"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120" w:before="0" w:line="276" w:lineRule="auto"/>
        <w:jc w:val="both"/>
        <w:rPr>
          <w:rFonts w:ascii="Montserrat ExtraBold" w:cs="Montserrat ExtraBold" w:eastAsia="Montserrat ExtraBold" w:hAnsi="Montserrat ExtraBold"/>
          <w:color w:val="313037"/>
          <w:sz w:val="28"/>
          <w:szCs w:val="28"/>
        </w:rPr>
      </w:pPr>
      <w:bookmarkStart w:colFirst="0" w:colLast="0" w:name="_6p50biuwel30" w:id="0"/>
      <w:bookmarkEnd w:id="0"/>
      <w:r w:rsidDel="00000000" w:rsidR="00000000" w:rsidRPr="00000000">
        <w:rPr>
          <w:rFonts w:ascii="Montserrat ExtraBold" w:cs="Montserrat ExtraBold" w:eastAsia="Montserrat ExtraBold" w:hAnsi="Montserrat ExtraBold"/>
          <w:color w:val="313037"/>
          <w:sz w:val="28"/>
          <w:szCs w:val="28"/>
          <w:rtl w:val="0"/>
        </w:rPr>
        <w:t xml:space="preserve">¿Cuáles son las zonas más </w:t>
      </w:r>
      <w:r w:rsidDel="00000000" w:rsidR="00000000" w:rsidRPr="00000000">
        <w:rPr>
          <w:rFonts w:ascii="Montserrat ExtraBold" w:cs="Montserrat ExtraBold" w:eastAsia="Montserrat ExtraBold" w:hAnsi="Montserrat ExtraBold"/>
          <w:i w:val="1"/>
          <w:color w:val="313037"/>
          <w:sz w:val="28"/>
          <w:szCs w:val="28"/>
          <w:rtl w:val="0"/>
        </w:rPr>
        <w:t xml:space="preserve">aesthetic</w:t>
      </w:r>
      <w:r w:rsidDel="00000000" w:rsidR="00000000" w:rsidRPr="00000000">
        <w:rPr>
          <w:rFonts w:ascii="Montserrat ExtraBold" w:cs="Montserrat ExtraBold" w:eastAsia="Montserrat ExtraBold" w:hAnsi="Montserrat ExtraBold"/>
          <w:color w:val="313037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1">
      <w:pPr>
        <w:spacing w:after="120" w:before="0"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análisis presenta la lista de 13 alcaldías, que evalúa cómo contribuye cada elemento en la estética de las alcaldías, determinando así el top 5 zonas más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aesthetic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la Ciudad de México: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0"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Cuauhtémoc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alcaldía más céntrica de la ciudad,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obtuvo el máximo puntaje (10 puntos), no por nada es de las zonas más populares para rentar en la Ciudad de México.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Cuenta con la oferta más amplia de museos, restaurantes, bares,ciclovías y estaciones de Ecobici. Según datos del portal inmobiliario, 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precio promedio de renta es de $24,500.00 MXN.</w:t>
      </w:r>
    </w:p>
    <w:p w:rsidR="00000000" w:rsidDel="00000000" w:rsidP="00000000" w:rsidRDefault="00000000" w:rsidRPr="00000000" w14:paraId="00000013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Miguel Hidalgo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sede del Museo Soumaya, el Museo Jumex y el Castillo de Chapultepec, es la segunda alcaldía en el ranking con un puntaje de 9.29. Es la tercera alcaldía con mayor cantidad de estaciones de Ecobici y la segunda en la ciudad con más museos, también se encuentran algunos restaurantes exclusivos. Zonas como Polanco, Lomas de Chapultepec, Nuevo Polanco, Anzures y Anáhuac concentran las propiedades más caras de la alcaldía. En Miguel Hidalgo, 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precio promedio de departamentos en renta asciende a los $35,000.00 MXN.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Benito Juárez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(7.86 en el ranking) destaca por ser la segunda con más estaciones de Ecobici y la segunda con más cafeterías y bares, pero es la última en Áreas de Conservación Patrimonial. Rentar un departamento cuesta en promedio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$23,000 MXN.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Coyoacán, (8.7 puntos en el ranking),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destaca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por tener un precio competitivo a comparación de Cuauhtémoc y Miguel Hidalgo que cuentan con un puntaje similar. La alcaldía se ubica al sur de la Ciudad de México, por lo que no es céntrica y ocupa el tercer lugar en museos, entre los que destacan  el Museo Casa Azul de Frida Kahlo, el Museo Universitario de Arte Contemporáneo (MUAC) y el Museo Casa de León Trotsky. En Coyoacán el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promedio para departamentos es de $16,900.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0" w:line="276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última en el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top 5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Lamudi es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Álvaro Obregón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(7.14 en el ranking)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que tampoco cuenta con un área muy extensa de Conservación Patrimonial, pero todavía tiene una cantidad moderada de ciclovías, estaciones de Ecobici y museos. 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precio promedio de renta para departamentos en la alcaldía es de $23,500.</w:t>
      </w:r>
    </w:p>
    <w:p w:rsidR="00000000" w:rsidDel="00000000" w:rsidP="00000000" w:rsidRDefault="00000000" w:rsidRPr="00000000" w14:paraId="00000017">
      <w:pPr>
        <w:spacing w:after="120" w:before="0"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siguiente gráfica resume la cantidad de elementos que conforman la percepción de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aesthetic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 cada alcaldía:</w:t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sz w:val="24"/>
          <w:szCs w:val="24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3071813" cy="3243473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1813" cy="324347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jc w:val="center"/>
        <w:rPr>
          <w:rFonts w:ascii="Consolas" w:cs="Consolas" w:eastAsia="Consolas" w:hAnsi="Consolas"/>
          <w:sz w:val="24"/>
          <w:szCs w:val="24"/>
        </w:rPr>
      </w:pPr>
      <w:hyperlink r:id="rId11">
        <w:r w:rsidDel="00000000" w:rsidR="00000000" w:rsidRPr="00000000">
          <w:rPr>
            <w:rFonts w:ascii="Consolas" w:cs="Consolas" w:eastAsia="Consolas" w:hAnsi="Consolas"/>
            <w:color w:val="1155cc"/>
            <w:sz w:val="24"/>
            <w:szCs w:val="24"/>
            <w:u w:val="single"/>
            <w:rtl w:val="0"/>
          </w:rPr>
          <w:t xml:space="preserve">Ver gráfico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nsolas" w:cs="Consolas" w:eastAsia="Consolas" w:hAnsi="Consolas"/>
          <w:color w:val="6aa84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6aa84f"/>
          <w:sz w:val="24"/>
          <w:szCs w:val="24"/>
          <w:rtl w:val="0"/>
        </w:rPr>
        <w:t xml:space="preserve">Inserta el gráfico en nota web [EMBED CODE]</w:t>
      </w:r>
    </w:p>
    <w:tbl>
      <w:tblPr>
        <w:tblStyle w:val="Table2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24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&lt;iframe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src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"https://bit.ly/cdmx-alcaldias-aesthetic-elementos-datos-lamudi"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"Alcaldías aesthetic: qué elementos tiene cada una"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"flourish-embed-iframe"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frameborder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scrolling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"no"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style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"width:100%;height:700px;"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ffeead"/>
                <w:sz w:val="16"/>
                <w:szCs w:val="16"/>
                <w:shd w:fill="002451" w:val="clear"/>
                <w:rtl w:val="0"/>
              </w:rPr>
              <w:t xml:space="preserve">sandbox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d1f1a9"/>
                <w:sz w:val="16"/>
                <w:szCs w:val="16"/>
                <w:shd w:fill="002451" w:val="clear"/>
                <w:rtl w:val="0"/>
              </w:rPr>
              <w:t xml:space="preserve">"allow-same-origin allow-forms allow-scripts allow-downloads allow-popups allow-popups-to-escape-sandbox allow-top-navigation-by-user-activation"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6"/>
                <w:szCs w:val="16"/>
                <w:shd w:fill="002451" w:val="clear"/>
                <w:rtl w:val="0"/>
              </w:rPr>
              <w:t xml:space="preserve">&gt;&lt;/iframe&gt;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Metodología: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="335.99999999999994" w:lineRule="auto"/>
        <w:ind w:left="72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Se analizaron diversas fuentes de datos abiertos de la Ciudad de México para recopilar los elementos considerados aesthetic:</w:t>
        <w:tab/>
        <w:tab/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Restaurantes, cafeterías, bares, cantinas y otros: INEGI, Sistemas de Consulta Diciembre 2020: https://www.inegi.org.mx/app/cuadroentidad/CDMX/2021/21/21_8</w:t>
        <w:tab/>
        <w:tab/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Museos: SIC Cultura, Datos 2020</w:t>
        <w:tab/>
        <w:tab/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Parques, alamedas y arboledas: Portal de Datos Abiertos CDMX: Áreas Verdes, Categoría "Parques, arboledas y alamedas", 2019</w:t>
        <w:tab/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Estaciones Ecobici: Portal de Datos Abiertos CDMX:  "Cicloestaciones Ecobici (Nuevo sistema)", 2023</w:t>
        <w:tab/>
        <w:tab/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Ciclovías en operación: Portal de Datos Abiertos CDMX: "Infraestructura vial ciclista", 2023</w:t>
        <w:tab/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Áreas de conservación patrimonial: Portal de Datos Abiertos CDMX: "Áreas de conservación patrimonial", 2022</w:t>
        <w:tab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="335.99999999999994" w:lineRule="auto"/>
        <w:ind w:left="72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Para realizar el ranking, se tomó como el 100% al conjunto de elementos. Se le dió la calificación de 10 a la zona que más elementos tenía considerando que: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Se le asignó menor peso a los parques, alamedas y arboledas que pueden reflejar los territorios más rurales y naturales de la zona y por lo tanto, tendrían una ventaja injusta sobre las zonas más urbanas.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="335.99999999999994" w:lineRule="auto"/>
        <w:ind w:left="144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Se le asignó mayor peso al sistema Ecobici por fomentar el  cuidado del ambiente en zonas que ya son muy urbanas.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40" w:before="0" w:beforeAutospacing="0" w:line="335.99999999999994" w:lineRule="auto"/>
        <w:ind w:left="72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Para definir el precio promedio de renta, se tomaron en cuenta todos los departamentos de entre 90m2 y 250 </w:t>
      </w: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de la base de datos de departamentos publicado en Lamudi.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Sobre Lamudi y LIFULL Connect</w:t>
      </w:r>
    </w:p>
    <w:p w:rsidR="00000000" w:rsidDel="00000000" w:rsidP="00000000" w:rsidRDefault="00000000" w:rsidRPr="00000000" w14:paraId="0000002C">
      <w:pPr>
        <w:spacing w:after="200" w:lineRule="auto"/>
        <w:jc w:val="both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Lamudi México es la plataforma en línea líder en bienes raíces que conecta a quienes buscan propiedades con profesionales del sector. Lanzado en 2013, Lamudi se convirtió rápidamente en un destino digital para quienes buscan comprar, alquilar o vender propiedades en todo el país. La interfaz fácil de usar y las características intuitivas de Lamudi México facilitan que cualquier persona encuentre la propiedad de sus sueños. En 2023 pasó a formar parte de Lifull Connect, el grupo líder en plataformas de venta y agregadores digitales propiedad de LIFULL. Atiende a más de 180 millones de usuarios mensualmente, con más de 250 sitios en 63 países. </w:t>
      </w:r>
      <w:r w:rsidDel="00000000" w:rsidR="00000000" w:rsidRPr="00000000">
        <w:rPr>
          <w:rtl w:val="0"/>
        </w:rPr>
      </w:r>
    </w:p>
    <w:tbl>
      <w:tblPr>
        <w:tblStyle w:val="Table3"/>
        <w:tblW w:w="796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84"/>
        <w:gridCol w:w="3984"/>
        <w:tblGridChange w:id="0">
          <w:tblGrid>
            <w:gridCol w:w="3984"/>
            <w:gridCol w:w="3984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Contacto de prensa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114300" distT="114300" distL="114300" distR="114300">
                  <wp:extent cx="853174" cy="293075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17484" l="16000" r="16800" t="23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74" cy="29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Giselle Martínez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Data Journalist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prensa@lifullconnect.com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+52 5611789382</w:t>
            </w:r>
          </w:p>
        </w:tc>
      </w:tr>
    </w:tbl>
    <w:p w:rsidR="00000000" w:rsidDel="00000000" w:rsidP="00000000" w:rsidRDefault="00000000" w:rsidRPr="00000000" w14:paraId="00000034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 w:orient="portrait"/>
      <w:pgMar w:bottom="1440" w:top="1440" w:left="1440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Montserrat Light" w:cs="Montserrat Light" w:eastAsia="Montserrat Light" w:hAnsi="Montserrat Light"/>
      </w:rPr>
    </w:pPr>
    <w:r w:rsidDel="00000000" w:rsidR="00000000" w:rsidRPr="00000000">
      <w:rPr>
        <w:rFonts w:ascii="Montserrat Light" w:cs="Montserrat Light" w:eastAsia="Montserrat Light" w:hAnsi="Montserrat Light"/>
        <w:sz w:val="20"/>
        <w:szCs w:val="20"/>
        <w:rtl w:val="0"/>
      </w:rPr>
      <w:t xml:space="preserve">Para más información, escribe a </w:t>
    </w:r>
    <w:hyperlink r:id="rId1">
      <w:r w:rsidDel="00000000" w:rsidR="00000000" w:rsidRPr="00000000">
        <w:rPr>
          <w:rFonts w:ascii="Montserrat Light" w:cs="Montserrat Light" w:eastAsia="Montserrat Light" w:hAnsi="Montserrat Light"/>
          <w:color w:val="1155cc"/>
          <w:sz w:val="20"/>
          <w:szCs w:val="20"/>
          <w:u w:val="single"/>
          <w:rtl w:val="0"/>
        </w:rPr>
        <w:t xml:space="preserve">prensa@lifullconnect.com</w:t>
      </w:r>
    </w:hyperlink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rFonts w:ascii="Montserrat Light" w:cs="Montserrat Light" w:eastAsia="Montserrat Light" w:hAnsi="Montserrat Ligh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 Light" w:cs="Montserrat Light" w:eastAsia="Montserrat Light" w:hAnsi="Montserrat Light"/>
        <w:rtl w:val="0"/>
      </w:rPr>
      <w:t xml:space="preserve"> de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pict>
        <v:shape id="WordPictureWatermark1" style="position:absolute;width:468.0pt;height:178.6110531803962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right="-72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4838700</wp:posOffset>
          </wp:positionH>
          <wp:positionV relativeFrom="paragraph">
            <wp:posOffset>-251459</wp:posOffset>
          </wp:positionV>
          <wp:extent cx="1233488" cy="588153"/>
          <wp:effectExtent b="0" l="0" r="0" t="0"/>
          <wp:wrapNone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14285" l="17467" r="14903" t="0"/>
                  <a:stretch>
                    <a:fillRect/>
                  </a:stretch>
                </pic:blipFill>
                <pic:spPr>
                  <a:xfrm>
                    <a:off x="0" y="0"/>
                    <a:ext cx="1233488" cy="5881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cdmx-alcaldias-aesthetic-elementos-datos-lamudi" TargetMode="External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cdmx-alcaldias-aesthetic-elementos-datos-lamudi" TargetMode="External"/><Relationship Id="rId15" Type="http://schemas.openxmlformats.org/officeDocument/2006/relationships/header" Target="head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s://www.lamudi.com.mx/" TargetMode="External"/><Relationship Id="rId18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hyperlink" Target="https://bit.ly/renta-ranking-alcald%C3%ADas-aesthetic-cdmx-lamud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prensa@lifullconnec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